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8214" w14:textId="1C5162B9" w:rsidR="00292880" w:rsidRPr="00B51F59" w:rsidRDefault="00D1273C" w:rsidP="00D1273C">
      <w:pPr>
        <w:jc w:val="center"/>
        <w:rPr>
          <w:rFonts w:ascii="Lato" w:hAnsi="Lato" w:cs="Arial"/>
          <w:b/>
          <w:bCs/>
          <w:sz w:val="32"/>
          <w:szCs w:val="32"/>
          <w:shd w:val="clear" w:color="auto" w:fill="D9D9D9"/>
        </w:rPr>
      </w:pPr>
      <w:r w:rsidRPr="00D1273C">
        <w:rPr>
          <w:rFonts w:ascii="Lato" w:hAnsi="Lato" w:cs="Arial"/>
          <w:b/>
          <w:bCs/>
          <w:sz w:val="32"/>
          <w:szCs w:val="32"/>
          <w:shd w:val="clear" w:color="auto" w:fill="D9D9D9"/>
        </w:rPr>
        <w:t>INVITATION TO BID FOR CONSULTANCY</w:t>
      </w:r>
    </w:p>
    <w:tbl>
      <w:tblPr>
        <w:tblpPr w:leftFromText="180" w:rightFromText="180" w:vertAnchor="text" w:horzAnchor="margin" w:tblpY="-9"/>
        <w:tblOverlap w:val="never"/>
        <w:tblW w:w="10457"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24"/>
        <w:gridCol w:w="2652"/>
        <w:gridCol w:w="4643"/>
        <w:gridCol w:w="2838"/>
      </w:tblGrid>
      <w:tr w:rsidR="00D71366" w:rsidRPr="00D15476" w14:paraId="1A51B9EA" w14:textId="77777777" w:rsidTr="00D71366">
        <w:trPr>
          <w:trHeight w:val="426"/>
        </w:trPr>
        <w:tc>
          <w:tcPr>
            <w:tcW w:w="324" w:type="dxa"/>
            <w:shd w:val="clear" w:color="auto" w:fill="F2F2F2"/>
          </w:tcPr>
          <w:p w14:paraId="4D470E46" w14:textId="1F267504" w:rsidR="00D71366" w:rsidRDefault="00D71366" w:rsidP="00D71366">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lastRenderedPageBreak/>
              <w:t>1</w:t>
            </w:r>
          </w:p>
        </w:tc>
        <w:tc>
          <w:tcPr>
            <w:tcW w:w="2652" w:type="dxa"/>
            <w:shd w:val="clear" w:color="auto" w:fill="F2F2F2"/>
          </w:tcPr>
          <w:p w14:paraId="2163CE02" w14:textId="77777777" w:rsidR="00D71366" w:rsidRDefault="00D71366" w:rsidP="00D71366">
            <w:pPr>
              <w:spacing w:after="0" w:line="240" w:lineRule="auto"/>
              <w:rPr>
                <w:rFonts w:ascii="Lato" w:hAnsi="Lato" w:cs="Arial"/>
                <w:b/>
                <w:color w:val="000000" w:themeColor="text1"/>
                <w:sz w:val="20"/>
                <w:szCs w:val="20"/>
              </w:rPr>
            </w:pPr>
          </w:p>
          <w:p w14:paraId="39FB70CB" w14:textId="0CE2D502" w:rsidR="00D71366" w:rsidRDefault="00D71366" w:rsidP="00D7136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Title of Consultancy</w:t>
            </w:r>
          </w:p>
        </w:tc>
        <w:tc>
          <w:tcPr>
            <w:tcW w:w="7481" w:type="dxa"/>
            <w:gridSpan w:val="2"/>
          </w:tcPr>
          <w:p w14:paraId="7E22DBA8" w14:textId="75125CA1" w:rsidR="00D71366" w:rsidRDefault="00D71366" w:rsidP="00D71366">
            <w:pPr>
              <w:jc w:val="both"/>
              <w:rPr>
                <w:rFonts w:ascii="Lato" w:hAnsi="Lato" w:cs="Arial"/>
                <w:b/>
                <w:bCs/>
                <w:color w:val="000000" w:themeColor="text1"/>
              </w:rPr>
            </w:pPr>
            <w:r>
              <w:rPr>
                <w:rFonts w:ascii="Lato" w:hAnsi="Lato" w:cs="Arial"/>
                <w:b/>
                <w:bCs/>
                <w:color w:val="000000" w:themeColor="text1"/>
              </w:rPr>
              <w:t>ADVERTISEMENT:</w:t>
            </w:r>
            <w:r w:rsidRPr="00C67662">
              <w:rPr>
                <w:rFonts w:ascii="Lato" w:hAnsi="Lato" w:cs="Arial"/>
                <w:b/>
                <w:bCs/>
                <w:color w:val="000000" w:themeColor="text1"/>
              </w:rPr>
              <w:t xml:space="preserve"> TERMS OF REFERENCE FOR</w:t>
            </w:r>
            <w:r>
              <w:rPr>
                <w:rFonts w:ascii="Lato" w:hAnsi="Lato" w:cs="Arial"/>
                <w:b/>
                <w:bCs/>
                <w:color w:val="000000" w:themeColor="text1"/>
              </w:rPr>
              <w:t xml:space="preserve"> </w:t>
            </w:r>
            <w:r w:rsidRPr="00FB75F8">
              <w:rPr>
                <w:rFonts w:ascii="Lato" w:hAnsi="Lato" w:cs="Arial"/>
                <w:b/>
                <w:bCs/>
                <w:color w:val="000000" w:themeColor="text1"/>
              </w:rPr>
              <w:t>INTERSECTIONAL EMPLOYMENT VULNERABILITY ASSESSMENT (EVA)</w:t>
            </w:r>
          </w:p>
        </w:tc>
      </w:tr>
      <w:tr w:rsidR="00D71366" w:rsidRPr="00D15476" w14:paraId="0A0E09BE" w14:textId="77777777" w:rsidTr="00D71366">
        <w:trPr>
          <w:trHeight w:val="306"/>
        </w:trPr>
        <w:tc>
          <w:tcPr>
            <w:tcW w:w="324" w:type="dxa"/>
            <w:shd w:val="clear" w:color="auto" w:fill="F2F2F2"/>
          </w:tcPr>
          <w:p w14:paraId="39163636" w14:textId="37A66433"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2</w:t>
            </w:r>
          </w:p>
        </w:tc>
        <w:tc>
          <w:tcPr>
            <w:tcW w:w="2652" w:type="dxa"/>
            <w:shd w:val="clear" w:color="auto" w:fill="F2F2F2"/>
          </w:tcPr>
          <w:p w14:paraId="242A9441" w14:textId="055ED9A3" w:rsidR="00D71366" w:rsidRPr="00D15476" w:rsidRDefault="00D71366" w:rsidP="00D7136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SCI Contracting Office</w:t>
            </w:r>
          </w:p>
        </w:tc>
        <w:tc>
          <w:tcPr>
            <w:tcW w:w="7481" w:type="dxa"/>
            <w:gridSpan w:val="2"/>
          </w:tcPr>
          <w:p w14:paraId="108644E7" w14:textId="6EBA28E2" w:rsidR="00D71366" w:rsidRPr="009B13B1" w:rsidRDefault="00D71366" w:rsidP="00D71366">
            <w:pPr>
              <w:pStyle w:val="NoSpacing"/>
              <w:rPr>
                <w:rFonts w:ascii="Lato" w:hAnsi="Lato" w:cs="Arial"/>
                <w:b/>
                <w:bCs/>
                <w:color w:val="000000" w:themeColor="text1"/>
                <w:sz w:val="20"/>
                <w:szCs w:val="20"/>
              </w:rPr>
            </w:pPr>
            <w:r w:rsidRPr="009B13B1">
              <w:rPr>
                <w:rFonts w:ascii="Lato" w:hAnsi="Lato" w:cs="Arial"/>
                <w:b/>
                <w:bCs/>
                <w:color w:val="000000" w:themeColor="text1"/>
                <w:sz w:val="20"/>
                <w:szCs w:val="20"/>
              </w:rPr>
              <w:t>Save the Children Somalia/land Country Office</w:t>
            </w:r>
          </w:p>
        </w:tc>
      </w:tr>
      <w:tr w:rsidR="00D71366" w:rsidRPr="00D15476" w14:paraId="46B74336" w14:textId="77777777" w:rsidTr="00D71366">
        <w:trPr>
          <w:trHeight w:val="345"/>
        </w:trPr>
        <w:tc>
          <w:tcPr>
            <w:tcW w:w="324" w:type="dxa"/>
            <w:shd w:val="clear" w:color="auto" w:fill="F2F2F2"/>
          </w:tcPr>
          <w:p w14:paraId="1F803A7F"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2652" w:type="dxa"/>
            <w:shd w:val="clear" w:color="auto" w:fill="F2F2F2"/>
          </w:tcPr>
          <w:p w14:paraId="1550D51C" w14:textId="77777777" w:rsidR="00D71366" w:rsidRPr="00D15476" w:rsidRDefault="00D71366" w:rsidP="00D7136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Period of Consultancy</w:t>
            </w:r>
          </w:p>
        </w:tc>
        <w:tc>
          <w:tcPr>
            <w:tcW w:w="7481" w:type="dxa"/>
            <w:gridSpan w:val="2"/>
          </w:tcPr>
          <w:p w14:paraId="590C44C6" w14:textId="5F087FAA" w:rsidR="00D71366" w:rsidRPr="00AC3246" w:rsidRDefault="00D71366" w:rsidP="00D71366">
            <w:pPr>
              <w:spacing w:after="0" w:line="240" w:lineRule="auto"/>
              <w:jc w:val="both"/>
              <w:rPr>
                <w:rFonts w:ascii="Lato" w:hAnsi="Lato" w:cs="Arial"/>
                <w:color w:val="000000" w:themeColor="text1"/>
                <w:sz w:val="20"/>
                <w:szCs w:val="20"/>
                <w:lang w:val="en-GB"/>
              </w:rPr>
            </w:pPr>
            <w:r w:rsidRPr="008F0328">
              <w:rPr>
                <w:rFonts w:ascii="Lato" w:hAnsi="Lato" w:cs="Arial"/>
                <w:color w:val="000000" w:themeColor="text1"/>
                <w:sz w:val="20"/>
                <w:szCs w:val="20"/>
                <w:lang w:val="en-GB"/>
              </w:rPr>
              <w:t xml:space="preserve">The duration of this assignment overall is </w:t>
            </w:r>
            <w:r>
              <w:rPr>
                <w:rFonts w:ascii="Lato" w:hAnsi="Lato" w:cs="Arial"/>
                <w:color w:val="000000" w:themeColor="text1"/>
                <w:sz w:val="20"/>
                <w:szCs w:val="20"/>
                <w:lang w:val="en-GB"/>
              </w:rPr>
              <w:t>45</w:t>
            </w:r>
            <w:r w:rsidRPr="008F0328">
              <w:rPr>
                <w:rFonts w:ascii="Lato" w:hAnsi="Lato" w:cs="Arial"/>
                <w:color w:val="000000" w:themeColor="text1"/>
                <w:sz w:val="20"/>
                <w:szCs w:val="20"/>
                <w:lang w:val="en-GB"/>
              </w:rPr>
              <w:t xml:space="preserve"> </w:t>
            </w:r>
            <w:r>
              <w:rPr>
                <w:rFonts w:ascii="Lato" w:hAnsi="Lato" w:cs="Arial"/>
                <w:color w:val="000000" w:themeColor="text1"/>
                <w:sz w:val="20"/>
                <w:szCs w:val="20"/>
                <w:lang w:val="en-GB"/>
              </w:rPr>
              <w:t xml:space="preserve">working </w:t>
            </w:r>
            <w:r w:rsidRPr="008F0328">
              <w:rPr>
                <w:rFonts w:ascii="Lato" w:hAnsi="Lato" w:cs="Arial"/>
                <w:color w:val="000000" w:themeColor="text1"/>
                <w:sz w:val="20"/>
                <w:szCs w:val="20"/>
                <w:lang w:val="en-GB"/>
              </w:rPr>
              <w:t>days</w:t>
            </w:r>
            <w:r>
              <w:rPr>
                <w:rFonts w:ascii="Lato" w:hAnsi="Lato" w:cs="Arial"/>
                <w:color w:val="000000" w:themeColor="text1"/>
                <w:sz w:val="20"/>
                <w:szCs w:val="20"/>
                <w:lang w:val="en-GB"/>
              </w:rPr>
              <w:t xml:space="preserve">. </w:t>
            </w:r>
          </w:p>
        </w:tc>
      </w:tr>
      <w:tr w:rsidR="00D71366" w:rsidRPr="00D15476" w14:paraId="6A759BE4" w14:textId="77777777" w:rsidTr="00D71366">
        <w:trPr>
          <w:trHeight w:val="228"/>
        </w:trPr>
        <w:tc>
          <w:tcPr>
            <w:tcW w:w="324" w:type="dxa"/>
            <w:shd w:val="clear" w:color="auto" w:fill="F2F2F2"/>
          </w:tcPr>
          <w:p w14:paraId="7F9A3BF1"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4</w:t>
            </w:r>
          </w:p>
        </w:tc>
        <w:tc>
          <w:tcPr>
            <w:tcW w:w="2652" w:type="dxa"/>
            <w:shd w:val="clear" w:color="auto" w:fill="F2F2F2"/>
          </w:tcPr>
          <w:p w14:paraId="5AFA77C6" w14:textId="77777777" w:rsidR="00D71366" w:rsidRPr="00D15476" w:rsidRDefault="00D71366" w:rsidP="00D7136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 xml:space="preserve">Consultant type required </w:t>
            </w:r>
          </w:p>
        </w:tc>
        <w:tc>
          <w:tcPr>
            <w:tcW w:w="7481" w:type="dxa"/>
            <w:gridSpan w:val="2"/>
          </w:tcPr>
          <w:p w14:paraId="55D1BE12" w14:textId="1BB5417B" w:rsidR="00D71366" w:rsidRPr="00C426FB" w:rsidRDefault="00D71366" w:rsidP="00D71366">
            <w:pPr>
              <w:spacing w:after="0" w:line="240" w:lineRule="auto"/>
              <w:jc w:val="both"/>
              <w:rPr>
                <w:rFonts w:ascii="Lato" w:hAnsi="Lato" w:cs="Arial"/>
                <w:b/>
                <w:bCs/>
                <w:color w:val="000000" w:themeColor="text1"/>
                <w:sz w:val="20"/>
                <w:szCs w:val="20"/>
              </w:rPr>
            </w:pPr>
            <w:r w:rsidRPr="00C426FB">
              <w:rPr>
                <w:rFonts w:ascii="Lato" w:hAnsi="Lato" w:cs="Arial"/>
                <w:b/>
                <w:bCs/>
                <w:color w:val="000000" w:themeColor="text1"/>
                <w:sz w:val="20"/>
                <w:szCs w:val="20"/>
              </w:rPr>
              <w:t>Consultancy Firm</w:t>
            </w:r>
          </w:p>
        </w:tc>
      </w:tr>
      <w:tr w:rsidR="00D71366" w:rsidRPr="00D15476" w14:paraId="36A0AEC1" w14:textId="77777777" w:rsidTr="00D71366">
        <w:trPr>
          <w:trHeight w:val="854"/>
        </w:trPr>
        <w:tc>
          <w:tcPr>
            <w:tcW w:w="324" w:type="dxa"/>
            <w:shd w:val="clear" w:color="auto" w:fill="F2F2F2"/>
          </w:tcPr>
          <w:p w14:paraId="3CEA747C"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2652" w:type="dxa"/>
            <w:shd w:val="clear" w:color="auto" w:fill="F2F2F2"/>
          </w:tcPr>
          <w:p w14:paraId="0983A027" w14:textId="77777777" w:rsidR="00D71366" w:rsidRPr="00D15476" w:rsidRDefault="00D71366" w:rsidP="00D7136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Responsibility for Logistics arrangements and Costs</w:t>
            </w:r>
          </w:p>
        </w:tc>
        <w:tc>
          <w:tcPr>
            <w:tcW w:w="7481" w:type="dxa"/>
            <w:gridSpan w:val="2"/>
          </w:tcPr>
          <w:p w14:paraId="19A3A940" w14:textId="61D6D0F2" w:rsidR="00D71366" w:rsidRPr="00D15476" w:rsidRDefault="00D71366" w:rsidP="00D7136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arrangements, costs; including food, accommodation, local transport and all cost associated with data collection work and whole activities. </w:t>
            </w:r>
          </w:p>
        </w:tc>
      </w:tr>
      <w:tr w:rsidR="00D71366" w:rsidRPr="00D15476" w14:paraId="4E4CABD4" w14:textId="77777777" w:rsidTr="00D71366">
        <w:trPr>
          <w:trHeight w:val="644"/>
        </w:trPr>
        <w:tc>
          <w:tcPr>
            <w:tcW w:w="324" w:type="dxa"/>
            <w:shd w:val="clear" w:color="auto" w:fill="F2F2F2"/>
          </w:tcPr>
          <w:p w14:paraId="4D5CE5EC"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6</w:t>
            </w:r>
          </w:p>
        </w:tc>
        <w:tc>
          <w:tcPr>
            <w:tcW w:w="2652" w:type="dxa"/>
            <w:shd w:val="clear" w:color="auto" w:fill="F2F2F2"/>
          </w:tcPr>
          <w:p w14:paraId="7FED7755" w14:textId="77777777" w:rsidR="00D71366" w:rsidRPr="00D15476" w:rsidRDefault="00D71366" w:rsidP="00D7136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Taxation Provisions</w:t>
            </w:r>
          </w:p>
        </w:tc>
        <w:tc>
          <w:tcPr>
            <w:tcW w:w="7481" w:type="dxa"/>
            <w:gridSpan w:val="2"/>
          </w:tcPr>
          <w:p w14:paraId="5407E799" w14:textId="79D7BBF4" w:rsidR="00D71366" w:rsidRPr="00D15476" w:rsidRDefault="00D71366" w:rsidP="00D7136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w:t>
            </w:r>
            <w:r>
              <w:rPr>
                <w:rFonts w:ascii="Lato" w:hAnsi="Lato" w:cs="Arial"/>
                <w:color w:val="000000" w:themeColor="text1"/>
                <w:sz w:val="20"/>
                <w:szCs w:val="20"/>
              </w:rPr>
              <w:t xml:space="preserve">m </w:t>
            </w:r>
            <w:r w:rsidRPr="00D15476">
              <w:rPr>
                <w:rFonts w:ascii="Lato" w:hAnsi="Lato" w:cs="Arial"/>
                <w:color w:val="000000" w:themeColor="text1"/>
                <w:sz w:val="20"/>
                <w:szCs w:val="20"/>
              </w:rPr>
              <w:t>shall be responsible for all taxes arising from the consultancy in line with the local Tax regulations applicable at the SCI contracting office</w:t>
            </w:r>
            <w:r>
              <w:rPr>
                <w:rFonts w:ascii="Lato" w:hAnsi="Lato" w:cs="Arial"/>
                <w:color w:val="000000" w:themeColor="text1"/>
                <w:sz w:val="20"/>
                <w:szCs w:val="20"/>
              </w:rPr>
              <w:t>.</w:t>
            </w:r>
          </w:p>
        </w:tc>
      </w:tr>
      <w:tr w:rsidR="00D71366" w:rsidRPr="00D15476" w14:paraId="44F44445" w14:textId="77777777" w:rsidTr="00D71366">
        <w:trPr>
          <w:trHeight w:val="423"/>
        </w:trPr>
        <w:tc>
          <w:tcPr>
            <w:tcW w:w="324" w:type="dxa"/>
            <w:shd w:val="clear" w:color="auto" w:fill="F2F2F2"/>
          </w:tcPr>
          <w:p w14:paraId="6E68B649"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7</w:t>
            </w:r>
          </w:p>
        </w:tc>
        <w:tc>
          <w:tcPr>
            <w:tcW w:w="2652" w:type="dxa"/>
            <w:shd w:val="clear" w:color="auto" w:fill="F2F2F2"/>
          </w:tcPr>
          <w:p w14:paraId="4225F94B" w14:textId="77777777" w:rsidR="00D71366" w:rsidRPr="00D15476" w:rsidRDefault="00D71366" w:rsidP="00D7136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 xml:space="preserve">Travel requirements </w:t>
            </w:r>
          </w:p>
        </w:tc>
        <w:tc>
          <w:tcPr>
            <w:tcW w:w="7481" w:type="dxa"/>
            <w:gridSpan w:val="2"/>
          </w:tcPr>
          <w:p w14:paraId="45D985F1" w14:textId="640628B5" w:rsidR="00D71366" w:rsidRPr="00D15476" w:rsidRDefault="00D71366" w:rsidP="00D71366">
            <w:pPr>
              <w:spacing w:after="0" w:line="240" w:lineRule="auto"/>
              <w:jc w:val="both"/>
              <w:rPr>
                <w:rFonts w:ascii="Lato" w:hAnsi="Lato" w:cs="Arial"/>
                <w:color w:val="000000" w:themeColor="text1"/>
                <w:sz w:val="20"/>
                <w:szCs w:val="20"/>
              </w:rPr>
            </w:pPr>
            <w:r w:rsidRPr="006A6798">
              <w:rPr>
                <w:rFonts w:ascii="Lato" w:hAnsi="Lato" w:cs="Arial"/>
                <w:color w:val="000000" w:themeColor="text1"/>
                <w:sz w:val="20"/>
                <w:szCs w:val="20"/>
              </w:rPr>
              <w:t>The consultancy firm</w:t>
            </w:r>
            <w:r>
              <w:rPr>
                <w:rFonts w:ascii="Lato" w:hAnsi="Lato" w:cs="Arial"/>
                <w:color w:val="000000" w:themeColor="text1"/>
                <w:sz w:val="20"/>
                <w:szCs w:val="20"/>
              </w:rPr>
              <w:t xml:space="preserve"> </w:t>
            </w:r>
            <w:r w:rsidRPr="006A6798">
              <w:rPr>
                <w:rFonts w:ascii="Lato" w:hAnsi="Lato" w:cs="Arial"/>
                <w:color w:val="000000" w:themeColor="text1"/>
                <w:sz w:val="20"/>
                <w:szCs w:val="20"/>
              </w:rPr>
              <w:t>will cover all travel costs (tickets) and arrange local travel to field sites.</w:t>
            </w:r>
          </w:p>
        </w:tc>
      </w:tr>
      <w:tr w:rsidR="00D71366" w:rsidRPr="00D15476" w14:paraId="66D55F0B" w14:textId="77777777" w:rsidTr="00D71366">
        <w:trPr>
          <w:trHeight w:val="519"/>
        </w:trPr>
        <w:tc>
          <w:tcPr>
            <w:tcW w:w="324" w:type="dxa"/>
            <w:shd w:val="clear" w:color="auto" w:fill="F2F2F2"/>
          </w:tcPr>
          <w:p w14:paraId="69EBDD1C" w14:textId="7777777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8</w:t>
            </w:r>
          </w:p>
        </w:tc>
        <w:tc>
          <w:tcPr>
            <w:tcW w:w="2652" w:type="dxa"/>
            <w:shd w:val="clear" w:color="auto" w:fill="F2F2F2"/>
          </w:tcPr>
          <w:p w14:paraId="188E7768" w14:textId="77777777" w:rsidR="00D71366" w:rsidRPr="00D15476" w:rsidRDefault="00D71366" w:rsidP="00D7136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Security requirements</w:t>
            </w:r>
          </w:p>
        </w:tc>
        <w:tc>
          <w:tcPr>
            <w:tcW w:w="7481" w:type="dxa"/>
            <w:gridSpan w:val="2"/>
          </w:tcPr>
          <w:p w14:paraId="2C878A67" w14:textId="1BDE0E5A" w:rsidR="00D71366" w:rsidRPr="00D15476" w:rsidRDefault="00D71366" w:rsidP="00D7136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firm</w:t>
            </w:r>
            <w:r>
              <w:rPr>
                <w:rFonts w:ascii="Lato" w:hAnsi="Lato" w:cs="Arial"/>
                <w:color w:val="000000" w:themeColor="text1"/>
                <w:sz w:val="20"/>
                <w:szCs w:val="20"/>
              </w:rPr>
              <w:t xml:space="preserve"> </w:t>
            </w:r>
            <w:r w:rsidRPr="00D15476">
              <w:rPr>
                <w:rFonts w:ascii="Lato" w:hAnsi="Lato" w:cs="Arial"/>
                <w:color w:val="000000" w:themeColor="text1"/>
                <w:sz w:val="20"/>
                <w:szCs w:val="20"/>
              </w:rPr>
              <w:t xml:space="preserve">will comply with standard of Save the Children Security procedures, including the completion of SCI online security training (applicable to international consultants) prior to travel to Somalia.  </w:t>
            </w:r>
          </w:p>
        </w:tc>
      </w:tr>
      <w:tr w:rsidR="00D71366" w:rsidRPr="00D15476" w14:paraId="523EA49F" w14:textId="77777777" w:rsidTr="00D71366">
        <w:trPr>
          <w:trHeight w:val="3259"/>
        </w:trPr>
        <w:tc>
          <w:tcPr>
            <w:tcW w:w="324" w:type="dxa"/>
            <w:shd w:val="clear" w:color="auto" w:fill="F2F2F2"/>
          </w:tcPr>
          <w:p w14:paraId="22AC09BB" w14:textId="77777777" w:rsidR="00D71366" w:rsidRPr="00D15476" w:rsidRDefault="00D71366" w:rsidP="00D71366">
            <w:pPr>
              <w:spacing w:after="0" w:line="240" w:lineRule="auto"/>
              <w:ind w:hanging="128"/>
              <w:jc w:val="center"/>
              <w:rPr>
                <w:rFonts w:ascii="Lato" w:hAnsi="Lato" w:cs="Arial"/>
                <w:color w:val="000000" w:themeColor="text1"/>
                <w:sz w:val="20"/>
                <w:szCs w:val="20"/>
                <w:highlight w:val="yellow"/>
              </w:rPr>
            </w:pPr>
            <w:r w:rsidRPr="00D15476">
              <w:rPr>
                <w:rFonts w:ascii="Lato" w:hAnsi="Lato" w:cs="Arial"/>
                <w:color w:val="000000" w:themeColor="text1"/>
                <w:sz w:val="20"/>
                <w:szCs w:val="20"/>
              </w:rPr>
              <w:t>9</w:t>
            </w:r>
          </w:p>
        </w:tc>
        <w:tc>
          <w:tcPr>
            <w:tcW w:w="2652" w:type="dxa"/>
            <w:shd w:val="clear" w:color="auto" w:fill="F2F2F2"/>
          </w:tcPr>
          <w:p w14:paraId="3CFE1184" w14:textId="594A764C" w:rsidR="00D71366" w:rsidRPr="00886058" w:rsidRDefault="00D71366" w:rsidP="00D71366">
            <w:pPr>
              <w:spacing w:after="0" w:line="240" w:lineRule="auto"/>
              <w:jc w:val="both"/>
              <w:rPr>
                <w:rFonts w:ascii="Lato" w:hAnsi="Lato" w:cs="Arial"/>
                <w:b/>
                <w:color w:val="000000" w:themeColor="text1"/>
                <w:sz w:val="20"/>
                <w:szCs w:val="20"/>
              </w:rPr>
            </w:pPr>
            <w:r w:rsidRPr="00886058">
              <w:rPr>
                <w:rFonts w:ascii="Lato" w:hAnsi="Lato" w:cs="Arial"/>
                <w:b/>
                <w:color w:val="000000" w:themeColor="text1"/>
                <w:sz w:val="20"/>
                <w:szCs w:val="20"/>
              </w:rPr>
              <w:t>Professional quality and Expertise</w:t>
            </w:r>
          </w:p>
        </w:tc>
        <w:tc>
          <w:tcPr>
            <w:tcW w:w="7481" w:type="dxa"/>
            <w:gridSpan w:val="2"/>
          </w:tcPr>
          <w:p w14:paraId="62EB7E80" w14:textId="5E2F7413" w:rsidR="00D71366" w:rsidRPr="007A1D40" w:rsidRDefault="00D71366" w:rsidP="00D71366">
            <w:pPr>
              <w:spacing w:after="0" w:line="240" w:lineRule="auto"/>
              <w:jc w:val="both"/>
              <w:rPr>
                <w:rFonts w:ascii="Lato" w:hAnsi="Lato" w:cs="Arial"/>
                <w:color w:val="000000" w:themeColor="text1"/>
                <w:sz w:val="20"/>
                <w:szCs w:val="20"/>
              </w:rPr>
            </w:pPr>
            <w:r w:rsidRPr="007A1D40">
              <w:rPr>
                <w:rFonts w:ascii="Lato" w:hAnsi="Lato" w:cs="Arial"/>
                <w:color w:val="000000" w:themeColor="text1"/>
                <w:sz w:val="20"/>
                <w:szCs w:val="20"/>
              </w:rPr>
              <w:t>The following are the minimum requirements for the Consultant Firm</w:t>
            </w:r>
            <w:r>
              <w:rPr>
                <w:rFonts w:ascii="Lato" w:hAnsi="Lato" w:cs="Arial"/>
                <w:color w:val="000000" w:themeColor="text1"/>
                <w:sz w:val="20"/>
                <w:szCs w:val="20"/>
              </w:rPr>
              <w:t xml:space="preserve"> </w:t>
            </w:r>
            <w:r w:rsidRPr="007A1D40">
              <w:rPr>
                <w:rFonts w:ascii="Lato" w:hAnsi="Lato" w:cs="Arial"/>
                <w:color w:val="000000" w:themeColor="text1"/>
                <w:sz w:val="20"/>
                <w:szCs w:val="20"/>
              </w:rPr>
              <w:t>to be considered for carrying out the assignment.</w:t>
            </w:r>
          </w:p>
          <w:p w14:paraId="26550EF0" w14:textId="77777777" w:rsidR="00D71366" w:rsidRPr="0024413F" w:rsidRDefault="00D71366" w:rsidP="00D71366">
            <w:pPr>
              <w:spacing w:after="0" w:line="240" w:lineRule="auto"/>
              <w:jc w:val="both"/>
              <w:rPr>
                <w:rFonts w:ascii="Lato" w:hAnsi="Lato" w:cs="Arial"/>
                <w:color w:val="000000" w:themeColor="text1"/>
                <w:sz w:val="20"/>
                <w:szCs w:val="20"/>
                <w:highlight w:val="yellow"/>
              </w:rPr>
            </w:pPr>
          </w:p>
          <w:p w14:paraId="7477809A" w14:textId="5ECC2B7C" w:rsidR="00D71366" w:rsidRPr="007A1D40" w:rsidRDefault="00D71366" w:rsidP="00D71366">
            <w:pPr>
              <w:pStyle w:val="ListParagraph"/>
              <w:numPr>
                <w:ilvl w:val="0"/>
                <w:numId w:val="10"/>
              </w:numPr>
              <w:jc w:val="both"/>
              <w:rPr>
                <w:rFonts w:ascii="Lato" w:hAnsi="Lato" w:cstheme="minorHAnsi"/>
                <w:bCs/>
                <w:iCs/>
                <w:sz w:val="20"/>
                <w:szCs w:val="20"/>
              </w:rPr>
            </w:pPr>
            <w:r w:rsidRPr="007A1D40">
              <w:rPr>
                <w:rFonts w:ascii="Lato" w:hAnsi="Lato"/>
                <w:sz w:val="20"/>
                <w:szCs w:val="20"/>
              </w:rPr>
              <w:t>Minimum 8 years leading complex, gender-sensitive and vulnerability assessments in Fragile and Conflict-Affected States (FCAS). Experience in Somalia or comparable Horn of Africa contexts strongly preferred.</w:t>
            </w:r>
          </w:p>
          <w:p w14:paraId="4E64EE44" w14:textId="77777777" w:rsidR="00D71366" w:rsidRPr="007A1D40" w:rsidRDefault="00D71366" w:rsidP="00D71366">
            <w:pPr>
              <w:pStyle w:val="ListParagraph"/>
              <w:numPr>
                <w:ilvl w:val="0"/>
                <w:numId w:val="10"/>
              </w:numPr>
              <w:jc w:val="both"/>
              <w:rPr>
                <w:rFonts w:ascii="Lato" w:hAnsi="Lato" w:cstheme="minorHAnsi"/>
                <w:bCs/>
                <w:iCs/>
                <w:sz w:val="20"/>
                <w:szCs w:val="20"/>
              </w:rPr>
            </w:pPr>
            <w:r w:rsidRPr="007A1D40">
              <w:rPr>
                <w:rFonts w:ascii="Lato" w:hAnsi="Lato"/>
                <w:sz w:val="20"/>
                <w:szCs w:val="20"/>
              </w:rPr>
              <w:t>Strong track record in gender–disability intersectional research, explicitly using a feminist analytical framework (evident in past reports).</w:t>
            </w:r>
          </w:p>
          <w:p w14:paraId="0A019368" w14:textId="77777777" w:rsidR="00D71366" w:rsidRPr="007A1D40" w:rsidRDefault="00D71366" w:rsidP="00D71366">
            <w:pPr>
              <w:pStyle w:val="ListParagraph"/>
              <w:numPr>
                <w:ilvl w:val="0"/>
                <w:numId w:val="10"/>
              </w:numPr>
              <w:jc w:val="both"/>
              <w:rPr>
                <w:rFonts w:ascii="Lato" w:hAnsi="Lato" w:cstheme="minorHAnsi"/>
                <w:bCs/>
                <w:iCs/>
                <w:sz w:val="20"/>
                <w:szCs w:val="20"/>
              </w:rPr>
            </w:pPr>
            <w:r w:rsidRPr="007A1D40">
              <w:rPr>
                <w:rFonts w:ascii="Lato" w:hAnsi="Lato"/>
                <w:sz w:val="20"/>
                <w:szCs w:val="20"/>
              </w:rPr>
              <w:t>Expertise in designing and leading safe, ethical qualitative research with women who have experienced GBV and persons with diverse disabilities.</w:t>
            </w:r>
          </w:p>
          <w:p w14:paraId="1BCCC170" w14:textId="77777777" w:rsidR="00D71366" w:rsidRPr="007A1D40" w:rsidRDefault="00D71366" w:rsidP="00D71366">
            <w:pPr>
              <w:pStyle w:val="ListParagraph"/>
              <w:numPr>
                <w:ilvl w:val="0"/>
                <w:numId w:val="10"/>
              </w:numPr>
              <w:jc w:val="both"/>
              <w:rPr>
                <w:rFonts w:ascii="Lato" w:hAnsi="Lato" w:cstheme="minorHAnsi"/>
                <w:bCs/>
                <w:iCs/>
                <w:sz w:val="20"/>
                <w:szCs w:val="20"/>
              </w:rPr>
            </w:pPr>
            <w:r w:rsidRPr="007A1D40">
              <w:rPr>
                <w:rFonts w:ascii="Lato" w:hAnsi="Lato"/>
                <w:sz w:val="20"/>
                <w:szCs w:val="20"/>
              </w:rPr>
              <w:t>Fluency in English (written and spoken).</w:t>
            </w:r>
          </w:p>
          <w:p w14:paraId="50F1405A" w14:textId="3D077F54" w:rsidR="00D71366" w:rsidRPr="005115C0" w:rsidRDefault="00D71366" w:rsidP="00D71366">
            <w:pPr>
              <w:pStyle w:val="ListParagraph"/>
              <w:numPr>
                <w:ilvl w:val="0"/>
                <w:numId w:val="10"/>
              </w:numPr>
              <w:jc w:val="both"/>
              <w:rPr>
                <w:rFonts w:ascii="Gill Sans MT" w:hAnsi="Gill Sans MT" w:cstheme="minorHAnsi"/>
                <w:bCs/>
                <w:iCs/>
              </w:rPr>
            </w:pPr>
            <w:r w:rsidRPr="007A1D40">
              <w:rPr>
                <w:rFonts w:ascii="Lato" w:hAnsi="Lato"/>
                <w:sz w:val="20"/>
                <w:szCs w:val="20"/>
              </w:rPr>
              <w:t>Demonstrable, certified experience in ethical research with vulnerable populations, including survivor-centred approaches and PSEA.</w:t>
            </w:r>
            <w:r w:rsidRPr="007A1D40">
              <w:rPr>
                <w:rFonts w:ascii="Lato" w:eastAsia="Times New Roman" w:hAnsi="Lato"/>
                <w:color w:val="222A35"/>
                <w:sz w:val="20"/>
                <w:szCs w:val="20"/>
                <w:lang w:val="en"/>
              </w:rPr>
              <w:t xml:space="preserve"> </w:t>
            </w:r>
          </w:p>
        </w:tc>
      </w:tr>
      <w:tr w:rsidR="00D71366" w:rsidRPr="00D15476" w14:paraId="2715A4FD" w14:textId="77777777" w:rsidTr="00A666C2">
        <w:trPr>
          <w:trHeight w:val="201"/>
        </w:trPr>
        <w:tc>
          <w:tcPr>
            <w:tcW w:w="324" w:type="dxa"/>
            <w:shd w:val="clear" w:color="auto" w:fill="F2F2F2"/>
          </w:tcPr>
          <w:p w14:paraId="6CB55BC3" w14:textId="77777777" w:rsidR="00D71366" w:rsidRPr="00D15476" w:rsidRDefault="00D71366" w:rsidP="00D71366">
            <w:pPr>
              <w:spacing w:after="0" w:line="240" w:lineRule="auto"/>
              <w:ind w:hanging="128"/>
              <w:rPr>
                <w:rFonts w:ascii="Lato" w:hAnsi="Lato" w:cs="Arial"/>
                <w:color w:val="000000" w:themeColor="text1"/>
                <w:sz w:val="20"/>
                <w:szCs w:val="20"/>
              </w:rPr>
            </w:pPr>
          </w:p>
        </w:tc>
        <w:tc>
          <w:tcPr>
            <w:tcW w:w="10133" w:type="dxa"/>
            <w:gridSpan w:val="3"/>
            <w:shd w:val="clear" w:color="auto" w:fill="F2F2F2"/>
          </w:tcPr>
          <w:p w14:paraId="6126C30D" w14:textId="2B7EC0B8" w:rsidR="00D71366" w:rsidRPr="00886058" w:rsidRDefault="00D71366" w:rsidP="00D71366">
            <w:pPr>
              <w:spacing w:after="0" w:line="240" w:lineRule="auto"/>
              <w:rPr>
                <w:rFonts w:ascii="Lato" w:hAnsi="Lato" w:cs="Arial"/>
                <w:color w:val="000000" w:themeColor="text1"/>
                <w:sz w:val="20"/>
                <w:szCs w:val="20"/>
              </w:rPr>
            </w:pPr>
            <w:r w:rsidRPr="00886058">
              <w:rPr>
                <w:rFonts w:ascii="Lato" w:hAnsi="Lato" w:cs="Arial"/>
                <w:b/>
                <w:color w:val="000000" w:themeColor="text1"/>
                <w:sz w:val="20"/>
                <w:szCs w:val="20"/>
              </w:rPr>
              <w:t>KEY PROFESSIONAL STAFF REQUIREMENT</w:t>
            </w:r>
          </w:p>
        </w:tc>
      </w:tr>
      <w:tr w:rsidR="00D71366" w:rsidRPr="00D15476" w14:paraId="1D900186" w14:textId="77777777" w:rsidTr="00D71366">
        <w:trPr>
          <w:trHeight w:val="280"/>
        </w:trPr>
        <w:tc>
          <w:tcPr>
            <w:tcW w:w="324" w:type="dxa"/>
            <w:shd w:val="clear" w:color="auto" w:fill="F2F2F2"/>
          </w:tcPr>
          <w:p w14:paraId="1C5B606A" w14:textId="77777777" w:rsidR="00D71366" w:rsidRPr="00D15476" w:rsidRDefault="00D71366" w:rsidP="00D71366">
            <w:pPr>
              <w:spacing w:after="0" w:line="240" w:lineRule="auto"/>
              <w:ind w:hanging="128"/>
              <w:rPr>
                <w:rFonts w:ascii="Lato" w:hAnsi="Lato" w:cs="Arial"/>
                <w:color w:val="000000" w:themeColor="text1"/>
                <w:sz w:val="20"/>
                <w:szCs w:val="20"/>
              </w:rPr>
            </w:pPr>
          </w:p>
        </w:tc>
        <w:tc>
          <w:tcPr>
            <w:tcW w:w="2652" w:type="dxa"/>
            <w:shd w:val="clear" w:color="auto" w:fill="F2F2F2"/>
          </w:tcPr>
          <w:p w14:paraId="788E7FB9" w14:textId="50971668" w:rsidR="00D71366" w:rsidRPr="00886058" w:rsidRDefault="00D71366" w:rsidP="00D71366">
            <w:pPr>
              <w:spacing w:after="0" w:line="240" w:lineRule="auto"/>
              <w:rPr>
                <w:rFonts w:ascii="Lato" w:hAnsi="Lato" w:cs="Arial"/>
                <w:b/>
                <w:color w:val="000000" w:themeColor="text1"/>
                <w:sz w:val="20"/>
                <w:szCs w:val="20"/>
              </w:rPr>
            </w:pPr>
            <w:r w:rsidRPr="00886058">
              <w:rPr>
                <w:rFonts w:ascii="Lato" w:hAnsi="Lato" w:cs="Arial"/>
                <w:b/>
                <w:color w:val="000000" w:themeColor="text1"/>
                <w:sz w:val="20"/>
                <w:szCs w:val="20"/>
              </w:rPr>
              <w:t>Description</w:t>
            </w:r>
          </w:p>
        </w:tc>
        <w:tc>
          <w:tcPr>
            <w:tcW w:w="7481" w:type="dxa"/>
            <w:gridSpan w:val="2"/>
          </w:tcPr>
          <w:p w14:paraId="0DC6C569" w14:textId="357256A0" w:rsidR="00D71366" w:rsidRPr="00E92FFF" w:rsidRDefault="00D71366" w:rsidP="00D71366">
            <w:pPr>
              <w:spacing w:after="0" w:line="240" w:lineRule="auto"/>
              <w:jc w:val="both"/>
              <w:rPr>
                <w:rFonts w:ascii="Lato" w:hAnsi="Lato" w:cs="Arial"/>
                <w:b/>
                <w:bCs/>
                <w:color w:val="000000" w:themeColor="text1"/>
                <w:sz w:val="20"/>
                <w:szCs w:val="20"/>
              </w:rPr>
            </w:pPr>
            <w:r w:rsidRPr="00E92FFF">
              <w:rPr>
                <w:rFonts w:ascii="Lato" w:hAnsi="Lato" w:cs="Arial"/>
                <w:b/>
                <w:bCs/>
                <w:color w:val="000000" w:themeColor="text1"/>
                <w:sz w:val="20"/>
                <w:szCs w:val="20"/>
              </w:rPr>
              <w:t>Minimum Qualification and professional experience:</w:t>
            </w:r>
          </w:p>
        </w:tc>
      </w:tr>
      <w:tr w:rsidR="00D71366" w:rsidRPr="00D15476" w14:paraId="544188BD" w14:textId="77777777" w:rsidTr="00D71366">
        <w:trPr>
          <w:trHeight w:val="2178"/>
        </w:trPr>
        <w:tc>
          <w:tcPr>
            <w:tcW w:w="324" w:type="dxa"/>
            <w:shd w:val="clear" w:color="auto" w:fill="F2F2F2"/>
          </w:tcPr>
          <w:p w14:paraId="241B8048" w14:textId="77777777" w:rsidR="00D71366" w:rsidRPr="00D15476" w:rsidRDefault="00D71366" w:rsidP="00D71366">
            <w:pPr>
              <w:spacing w:after="0" w:line="240" w:lineRule="auto"/>
              <w:ind w:hanging="128"/>
              <w:rPr>
                <w:rFonts w:ascii="Lato" w:hAnsi="Lato" w:cs="Arial"/>
                <w:color w:val="000000" w:themeColor="text1"/>
                <w:sz w:val="20"/>
                <w:szCs w:val="20"/>
              </w:rPr>
            </w:pPr>
          </w:p>
        </w:tc>
        <w:tc>
          <w:tcPr>
            <w:tcW w:w="2652" w:type="dxa"/>
          </w:tcPr>
          <w:p w14:paraId="40CAB0A7" w14:textId="5F0CE3A8" w:rsidR="00D71366" w:rsidRPr="00886058" w:rsidRDefault="00D71366" w:rsidP="00D71366">
            <w:pPr>
              <w:rPr>
                <w:rFonts w:ascii="Lato" w:hAnsi="Lato"/>
                <w:b/>
                <w:bCs/>
                <w:sz w:val="20"/>
                <w:szCs w:val="20"/>
              </w:rPr>
            </w:pPr>
            <w:r w:rsidRPr="00886058">
              <w:rPr>
                <w:rFonts w:ascii="Lato" w:hAnsi="Lato"/>
                <w:b/>
                <w:bCs/>
                <w:sz w:val="20"/>
                <w:szCs w:val="20"/>
              </w:rPr>
              <w:t>Technical Team Lead</w:t>
            </w:r>
          </w:p>
          <w:p w14:paraId="0FA8261C" w14:textId="77777777" w:rsidR="00D71366" w:rsidRPr="00886058" w:rsidRDefault="00D71366" w:rsidP="00D71366">
            <w:pPr>
              <w:rPr>
                <w:rFonts w:ascii="Lato" w:hAnsi="Lato"/>
                <w:b/>
                <w:bCs/>
                <w:sz w:val="20"/>
                <w:szCs w:val="20"/>
              </w:rPr>
            </w:pPr>
          </w:p>
          <w:p w14:paraId="4E14FDDB" w14:textId="1F30E438" w:rsidR="00D71366" w:rsidRPr="00886058" w:rsidRDefault="00D71366" w:rsidP="00D71366">
            <w:pPr>
              <w:spacing w:afterLines="60" w:after="144" w:line="240" w:lineRule="auto"/>
              <w:jc w:val="both"/>
              <w:rPr>
                <w:rFonts w:ascii="Lato" w:hAnsi="Lato" w:cs="Arial"/>
                <w:sz w:val="20"/>
                <w:szCs w:val="20"/>
                <w:lang w:val="en-GB"/>
              </w:rPr>
            </w:pPr>
          </w:p>
        </w:tc>
        <w:tc>
          <w:tcPr>
            <w:tcW w:w="7481" w:type="dxa"/>
            <w:gridSpan w:val="2"/>
          </w:tcPr>
          <w:p w14:paraId="4C18A938" w14:textId="2EE55617" w:rsidR="00D71366" w:rsidRPr="00D23ECD" w:rsidRDefault="00D71366" w:rsidP="00D71366">
            <w:pPr>
              <w:pStyle w:val="ListParagraph"/>
              <w:numPr>
                <w:ilvl w:val="0"/>
                <w:numId w:val="16"/>
              </w:numPr>
              <w:jc w:val="both"/>
              <w:rPr>
                <w:rFonts w:ascii="Lato" w:eastAsia="Times New Roman" w:hAnsi="Lato"/>
                <w:color w:val="222A35"/>
                <w:sz w:val="20"/>
                <w:szCs w:val="20"/>
                <w:lang w:val="en"/>
              </w:rPr>
            </w:pPr>
            <w:r w:rsidRPr="00D23ECD">
              <w:rPr>
                <w:rFonts w:ascii="Lato" w:hAnsi="Lato"/>
                <w:sz w:val="20"/>
                <w:szCs w:val="20"/>
              </w:rPr>
              <w:t>Team Lead — qualifications as above, with proven women</w:t>
            </w:r>
            <w:r>
              <w:rPr>
                <w:rFonts w:ascii="Lato" w:hAnsi="Lato"/>
                <w:sz w:val="20"/>
                <w:szCs w:val="20"/>
              </w:rPr>
              <w:t xml:space="preserve"> affairs/studies</w:t>
            </w:r>
            <w:r w:rsidRPr="00D23ECD">
              <w:rPr>
                <w:rFonts w:ascii="Lato" w:hAnsi="Lato"/>
                <w:sz w:val="20"/>
                <w:szCs w:val="20"/>
              </w:rPr>
              <w:t>/GESI leadership.</w:t>
            </w:r>
          </w:p>
          <w:p w14:paraId="2724125B" w14:textId="063B0CE8" w:rsidR="00D71366" w:rsidRPr="00D23ECD" w:rsidRDefault="00D71366" w:rsidP="00D71366">
            <w:pPr>
              <w:pStyle w:val="ListParagraph"/>
              <w:numPr>
                <w:ilvl w:val="0"/>
                <w:numId w:val="16"/>
              </w:numPr>
              <w:jc w:val="both"/>
              <w:rPr>
                <w:rFonts w:ascii="Lato" w:eastAsia="Times New Roman" w:hAnsi="Lato"/>
                <w:color w:val="222A35"/>
                <w:sz w:val="20"/>
                <w:szCs w:val="20"/>
                <w:lang w:val="en"/>
              </w:rPr>
            </w:pPr>
            <w:r w:rsidRPr="00D23ECD">
              <w:rPr>
                <w:rFonts w:ascii="Lato" w:hAnsi="Lato"/>
                <w:sz w:val="20"/>
                <w:szCs w:val="20"/>
              </w:rPr>
              <w:t>Gender &amp; GBV Specialist— a senior Somali national or international expert with deep expertise in gender analysis, GBV prevention/response, and women’s economic rights in the Somali context.</w:t>
            </w:r>
          </w:p>
          <w:p w14:paraId="59151FB4" w14:textId="7B602727" w:rsidR="00D71366" w:rsidRPr="00D23ECD" w:rsidRDefault="00D71366" w:rsidP="00D71366">
            <w:pPr>
              <w:pStyle w:val="ListParagraph"/>
              <w:numPr>
                <w:ilvl w:val="0"/>
                <w:numId w:val="16"/>
              </w:numPr>
              <w:jc w:val="both"/>
              <w:rPr>
                <w:rFonts w:ascii="Lato" w:eastAsia="Times New Roman" w:hAnsi="Lato"/>
                <w:color w:val="222A35"/>
                <w:sz w:val="20"/>
                <w:szCs w:val="20"/>
                <w:lang w:val="en"/>
              </w:rPr>
            </w:pPr>
            <w:r w:rsidRPr="00D23ECD">
              <w:rPr>
                <w:rFonts w:ascii="Lato" w:hAnsi="Lato"/>
                <w:sz w:val="20"/>
                <w:szCs w:val="20"/>
              </w:rPr>
              <w:t>Disability Inclusion Specialist with demonstrated experience addressing the needs of women and girls with disabilities, including intellectual and psychosocial disabilities.</w:t>
            </w:r>
          </w:p>
          <w:p w14:paraId="165BA123" w14:textId="171907A9" w:rsidR="00D71366" w:rsidRPr="00D23ECD" w:rsidRDefault="00D71366" w:rsidP="00D71366">
            <w:pPr>
              <w:pStyle w:val="ListParagraph"/>
              <w:numPr>
                <w:ilvl w:val="0"/>
                <w:numId w:val="16"/>
              </w:numPr>
              <w:jc w:val="both"/>
              <w:rPr>
                <w:rFonts w:ascii="Lato" w:eastAsia="Times New Roman" w:hAnsi="Lato"/>
                <w:color w:val="222A35"/>
                <w:sz w:val="20"/>
                <w:szCs w:val="20"/>
                <w:lang w:val="en"/>
              </w:rPr>
            </w:pPr>
            <w:r w:rsidRPr="00D23ECD">
              <w:rPr>
                <w:rFonts w:ascii="Lato" w:hAnsi="Lato"/>
                <w:sz w:val="20"/>
                <w:szCs w:val="20"/>
              </w:rPr>
              <w:t>Quantitative Data Analyst skilled in disaggregating data by multiple axes and running intersectional analysis.</w:t>
            </w:r>
          </w:p>
        </w:tc>
      </w:tr>
      <w:tr w:rsidR="00D71366" w:rsidRPr="00D15476" w14:paraId="3C337307" w14:textId="77777777" w:rsidTr="00A666C2">
        <w:trPr>
          <w:trHeight w:hRule="exact" w:val="474"/>
        </w:trPr>
        <w:tc>
          <w:tcPr>
            <w:tcW w:w="324" w:type="dxa"/>
            <w:tcBorders>
              <w:bottom w:val="single" w:sz="4" w:space="0" w:color="auto"/>
            </w:tcBorders>
            <w:shd w:val="clear" w:color="auto" w:fill="F2F2F2"/>
          </w:tcPr>
          <w:p w14:paraId="66D984AB" w14:textId="77777777" w:rsidR="00D71366" w:rsidRPr="00D15476" w:rsidRDefault="00D71366" w:rsidP="00D71366">
            <w:pPr>
              <w:spacing w:after="0" w:line="240" w:lineRule="auto"/>
              <w:ind w:hanging="128"/>
              <w:rPr>
                <w:rFonts w:ascii="Lato" w:hAnsi="Lato" w:cs="Arial"/>
                <w:color w:val="000000" w:themeColor="text1"/>
                <w:sz w:val="20"/>
                <w:szCs w:val="20"/>
              </w:rPr>
            </w:pPr>
          </w:p>
        </w:tc>
        <w:tc>
          <w:tcPr>
            <w:tcW w:w="10133" w:type="dxa"/>
            <w:gridSpan w:val="3"/>
            <w:tcBorders>
              <w:bottom w:val="single" w:sz="4" w:space="0" w:color="auto"/>
            </w:tcBorders>
            <w:shd w:val="clear" w:color="auto" w:fill="F2F2F2"/>
          </w:tcPr>
          <w:p w14:paraId="756852CA" w14:textId="77777777" w:rsidR="00D71366" w:rsidRPr="00D15476" w:rsidRDefault="00D71366" w:rsidP="00D7136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11</w:t>
            </w:r>
            <w:r w:rsidRPr="00D15476">
              <w:rPr>
                <w:rFonts w:ascii="Lato" w:hAnsi="Lato" w:cs="Arial"/>
                <w:b/>
                <w:color w:val="000000" w:themeColor="text1"/>
                <w:sz w:val="20"/>
                <w:szCs w:val="20"/>
              </w:rPr>
              <w:tab/>
              <w:t>EVALUATION CRITERIA</w:t>
            </w:r>
          </w:p>
          <w:p w14:paraId="02CE377D" w14:textId="2A4C5777" w:rsidR="00D71366" w:rsidRPr="000C1B2D" w:rsidRDefault="00D71366" w:rsidP="00D71366">
            <w:pPr>
              <w:spacing w:after="0" w:line="240" w:lineRule="auto"/>
              <w:jc w:val="both"/>
              <w:rPr>
                <w:rFonts w:ascii="Lato" w:hAnsi="Lato" w:cs="Arial"/>
                <w:b/>
                <w:color w:val="000000" w:themeColor="text1"/>
                <w:sz w:val="20"/>
                <w:szCs w:val="20"/>
              </w:rPr>
            </w:pPr>
            <w:r w:rsidRPr="000C1B2D">
              <w:rPr>
                <w:rFonts w:ascii="Lato" w:hAnsi="Lato" w:cs="Arial"/>
                <w:b/>
                <w:color w:val="000000" w:themeColor="text1"/>
                <w:sz w:val="20"/>
                <w:szCs w:val="20"/>
              </w:rPr>
              <w:t>The proposals submitted by consulting companies will be evaluated based on the following criteria:</w:t>
            </w:r>
          </w:p>
        </w:tc>
      </w:tr>
      <w:tr w:rsidR="00D71366" w:rsidRPr="00D15476" w14:paraId="0D2F1921" w14:textId="77777777" w:rsidTr="00D71366">
        <w:trPr>
          <w:trHeight w:hRule="exact" w:val="406"/>
        </w:trPr>
        <w:tc>
          <w:tcPr>
            <w:tcW w:w="324" w:type="dxa"/>
            <w:tcBorders>
              <w:bottom w:val="single" w:sz="4" w:space="0" w:color="auto"/>
            </w:tcBorders>
            <w:shd w:val="clear" w:color="auto" w:fill="F2F2F2"/>
          </w:tcPr>
          <w:p w14:paraId="2C6416E9" w14:textId="77777777" w:rsidR="00D71366" w:rsidRPr="00D15476" w:rsidRDefault="00D71366" w:rsidP="00D71366">
            <w:pPr>
              <w:spacing w:after="0" w:line="240" w:lineRule="auto"/>
              <w:ind w:hanging="128"/>
              <w:rPr>
                <w:rFonts w:ascii="Lato" w:hAnsi="Lato" w:cs="Arial"/>
                <w:color w:val="000000" w:themeColor="text1"/>
                <w:sz w:val="20"/>
                <w:szCs w:val="20"/>
              </w:rPr>
            </w:pPr>
          </w:p>
        </w:tc>
        <w:tc>
          <w:tcPr>
            <w:tcW w:w="7295" w:type="dxa"/>
            <w:gridSpan w:val="2"/>
            <w:tcBorders>
              <w:bottom w:val="single" w:sz="4" w:space="0" w:color="auto"/>
            </w:tcBorders>
            <w:shd w:val="clear" w:color="auto" w:fill="F2F2F2"/>
          </w:tcPr>
          <w:p w14:paraId="16CFA677" w14:textId="717C570B" w:rsidR="00D71366" w:rsidRPr="00C91FF8" w:rsidRDefault="00D71366" w:rsidP="00D71366">
            <w:pPr>
              <w:spacing w:after="0" w:line="240" w:lineRule="auto"/>
              <w:rPr>
                <w:rFonts w:ascii="Lato" w:hAnsi="Lato" w:cs="Arial"/>
                <w:b/>
                <w:color w:val="000000" w:themeColor="text1"/>
                <w:sz w:val="28"/>
                <w:szCs w:val="28"/>
              </w:rPr>
            </w:pPr>
            <w:r w:rsidRPr="00C91FF8">
              <w:rPr>
                <w:rFonts w:ascii="Lato" w:hAnsi="Lato" w:cs="Arial"/>
                <w:b/>
                <w:color w:val="000000" w:themeColor="text1"/>
                <w:sz w:val="28"/>
                <w:szCs w:val="28"/>
              </w:rPr>
              <w:t>Essential Criteria</w:t>
            </w:r>
          </w:p>
        </w:tc>
        <w:tc>
          <w:tcPr>
            <w:tcW w:w="2838" w:type="dxa"/>
            <w:tcBorders>
              <w:bottom w:val="single" w:sz="4" w:space="0" w:color="auto"/>
            </w:tcBorders>
          </w:tcPr>
          <w:p w14:paraId="3731D116" w14:textId="064CB7F1" w:rsidR="00D71366" w:rsidRPr="00C91FF8" w:rsidRDefault="00D71366" w:rsidP="00D71366">
            <w:pPr>
              <w:spacing w:after="0" w:line="240" w:lineRule="auto"/>
              <w:jc w:val="center"/>
              <w:rPr>
                <w:rFonts w:ascii="Lato" w:hAnsi="Lato" w:cs="Arial"/>
                <w:b/>
                <w:color w:val="000000" w:themeColor="text1"/>
                <w:sz w:val="28"/>
                <w:szCs w:val="28"/>
              </w:rPr>
            </w:pPr>
            <w:r w:rsidRPr="00C91FF8">
              <w:rPr>
                <w:rFonts w:ascii="Lato" w:hAnsi="Lato" w:cs="Arial"/>
                <w:b/>
                <w:color w:val="000000" w:themeColor="text1"/>
                <w:sz w:val="28"/>
                <w:szCs w:val="28"/>
              </w:rPr>
              <w:t>Pass/Fail</w:t>
            </w:r>
          </w:p>
        </w:tc>
      </w:tr>
      <w:tr w:rsidR="00D71366" w:rsidRPr="00D15476" w14:paraId="0C6F8F13" w14:textId="77777777" w:rsidTr="00D71366">
        <w:trPr>
          <w:trHeight w:hRule="exact" w:val="1107"/>
        </w:trPr>
        <w:tc>
          <w:tcPr>
            <w:tcW w:w="324" w:type="dxa"/>
            <w:tcBorders>
              <w:bottom w:val="single" w:sz="4" w:space="0" w:color="auto"/>
            </w:tcBorders>
            <w:shd w:val="clear" w:color="auto" w:fill="F2F2F2"/>
          </w:tcPr>
          <w:p w14:paraId="52DFB579" w14:textId="72D37126"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1</w:t>
            </w:r>
          </w:p>
        </w:tc>
        <w:tc>
          <w:tcPr>
            <w:tcW w:w="7295" w:type="dxa"/>
            <w:gridSpan w:val="2"/>
            <w:tcBorders>
              <w:bottom w:val="single" w:sz="4" w:space="0" w:color="auto"/>
            </w:tcBorders>
            <w:shd w:val="clear" w:color="auto" w:fill="F2F2F2"/>
          </w:tcPr>
          <w:p w14:paraId="44A9D872" w14:textId="032A33C8" w:rsidR="00D71366" w:rsidRPr="00EE6A61" w:rsidRDefault="00D71366" w:rsidP="00D71366">
            <w:pPr>
              <w:spacing w:after="0" w:line="240" w:lineRule="auto"/>
              <w:jc w:val="both"/>
              <w:rPr>
                <w:rFonts w:ascii="Lato" w:hAnsi="Lato" w:cs="Arial"/>
                <w:bCs/>
                <w:color w:val="000000" w:themeColor="text1"/>
              </w:rPr>
            </w:pPr>
            <w:r w:rsidRPr="00EE6A61">
              <w:rPr>
                <w:rFonts w:ascii="Lato" w:hAnsi="Lato" w:cs="Arial"/>
                <w:bCs/>
                <w:color w:val="000000" w:themeColor="text1"/>
              </w:rPr>
              <w:t>The Bidder and its staff agree and Sign to comply with SCI policies embedded below at this ITB. The Bidder is to download below listed items, read, understand and sign off appropriate section in below.</w:t>
            </w:r>
          </w:p>
          <w:p w14:paraId="42E16468" w14:textId="77777777" w:rsidR="00D71366" w:rsidRPr="00EE6A61" w:rsidRDefault="00D71366" w:rsidP="00D71366">
            <w:pPr>
              <w:spacing w:after="0" w:line="240" w:lineRule="auto"/>
              <w:jc w:val="both"/>
              <w:rPr>
                <w:rFonts w:ascii="Lato" w:hAnsi="Lato" w:cs="Arial"/>
                <w:bCs/>
                <w:color w:val="000000" w:themeColor="text1"/>
              </w:rPr>
            </w:pPr>
            <w:r w:rsidRPr="00EE6A61">
              <w:rPr>
                <w:rFonts w:ascii="Lato" w:hAnsi="Lato" w:cs="Arial"/>
                <w:bCs/>
                <w:color w:val="000000" w:themeColor="text1"/>
              </w:rPr>
              <w:t>a) Terms &amp; Conditions of Bidding</w:t>
            </w:r>
          </w:p>
          <w:p w14:paraId="38CAB974" w14:textId="2F90D658" w:rsidR="00D71366" w:rsidRPr="00EE6A61" w:rsidRDefault="00D71366" w:rsidP="00D71366">
            <w:pPr>
              <w:spacing w:after="0" w:line="240" w:lineRule="auto"/>
              <w:jc w:val="both"/>
              <w:rPr>
                <w:rFonts w:ascii="Lato" w:hAnsi="Lato" w:cs="Arial"/>
                <w:bCs/>
                <w:color w:val="000000" w:themeColor="text1"/>
              </w:rPr>
            </w:pPr>
            <w:r w:rsidRPr="00EE6A61">
              <w:rPr>
                <w:rFonts w:ascii="Lato" w:hAnsi="Lato" w:cs="Arial"/>
                <w:bCs/>
                <w:color w:val="000000" w:themeColor="text1"/>
              </w:rPr>
              <w:t>b) Supplier Sustainability Policy and the included mandatory policies</w:t>
            </w:r>
          </w:p>
          <w:p w14:paraId="6B41C0FD" w14:textId="1D728EBC" w:rsidR="00D71366" w:rsidRPr="00EE6A61" w:rsidRDefault="00D71366" w:rsidP="00D71366">
            <w:pPr>
              <w:spacing w:after="0" w:line="240" w:lineRule="auto"/>
              <w:jc w:val="both"/>
              <w:rPr>
                <w:rFonts w:ascii="Lato" w:hAnsi="Lato" w:cs="Arial"/>
                <w:bCs/>
                <w:color w:val="000000" w:themeColor="text1"/>
              </w:rPr>
            </w:pPr>
          </w:p>
        </w:tc>
        <w:tc>
          <w:tcPr>
            <w:tcW w:w="2838" w:type="dxa"/>
            <w:tcBorders>
              <w:bottom w:val="single" w:sz="4" w:space="0" w:color="auto"/>
            </w:tcBorders>
            <w:vAlign w:val="center"/>
          </w:tcPr>
          <w:p w14:paraId="5495A88A" w14:textId="627BB1A1" w:rsidR="00D71366" w:rsidRPr="00C91FF8" w:rsidRDefault="00D71366" w:rsidP="00D71366">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D71366" w:rsidRPr="00D15476" w14:paraId="107ABA1A" w14:textId="77777777" w:rsidTr="00D71366">
        <w:trPr>
          <w:trHeight w:hRule="exact" w:val="665"/>
        </w:trPr>
        <w:tc>
          <w:tcPr>
            <w:tcW w:w="324" w:type="dxa"/>
            <w:tcBorders>
              <w:bottom w:val="single" w:sz="4" w:space="0" w:color="auto"/>
            </w:tcBorders>
            <w:shd w:val="clear" w:color="auto" w:fill="F2F2F2"/>
          </w:tcPr>
          <w:p w14:paraId="76E6FB86" w14:textId="7B49AD51"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7295" w:type="dxa"/>
            <w:gridSpan w:val="2"/>
            <w:tcBorders>
              <w:bottom w:val="single" w:sz="4" w:space="0" w:color="auto"/>
            </w:tcBorders>
            <w:shd w:val="clear" w:color="auto" w:fill="F2F2F2"/>
          </w:tcPr>
          <w:p w14:paraId="6019AA02" w14:textId="43B61A94" w:rsidR="00D71366" w:rsidRDefault="00D71366" w:rsidP="00D71366">
            <w:pPr>
              <w:spacing w:after="0" w:line="240" w:lineRule="auto"/>
              <w:jc w:val="both"/>
              <w:rPr>
                <w:rFonts w:ascii="Lato" w:hAnsi="Lato" w:cs="Arial"/>
                <w:color w:val="000000" w:themeColor="text1"/>
              </w:rPr>
            </w:pPr>
            <w:r w:rsidRPr="00EE6A61">
              <w:rPr>
                <w:rFonts w:ascii="Lato" w:hAnsi="Lato" w:cs="Arial"/>
                <w:color w:val="000000" w:themeColor="text1"/>
              </w:rPr>
              <w:t xml:space="preserve">A valid Certificate of Registration from the relevant </w:t>
            </w:r>
            <w:r>
              <w:rPr>
                <w:rFonts w:ascii="Lato" w:hAnsi="Lato" w:cs="Arial"/>
                <w:color w:val="000000" w:themeColor="text1"/>
              </w:rPr>
              <w:t>M</w:t>
            </w:r>
            <w:r w:rsidRPr="00EE6A61">
              <w:rPr>
                <w:rFonts w:ascii="Lato" w:hAnsi="Lato" w:cs="Arial"/>
                <w:color w:val="000000" w:themeColor="text1"/>
              </w:rPr>
              <w:t xml:space="preserve">inistry of </w:t>
            </w:r>
            <w:r>
              <w:rPr>
                <w:rFonts w:ascii="Lato" w:hAnsi="Lato" w:cs="Arial"/>
                <w:color w:val="000000" w:themeColor="text1"/>
              </w:rPr>
              <w:t>C</w:t>
            </w:r>
            <w:r w:rsidRPr="00EE6A61">
              <w:rPr>
                <w:rFonts w:ascii="Lato" w:hAnsi="Lato" w:cs="Arial"/>
                <w:color w:val="000000" w:themeColor="text1"/>
              </w:rPr>
              <w:t>ommerce</w:t>
            </w:r>
            <w:r>
              <w:rPr>
                <w:rFonts w:ascii="Lato" w:hAnsi="Lato" w:cs="Arial"/>
                <w:color w:val="000000" w:themeColor="text1"/>
              </w:rPr>
              <w:t xml:space="preserve"> from Ministry Of commerce of Federal Republic of Somalia or Federal </w:t>
            </w:r>
            <w:r w:rsidRPr="009C620B">
              <w:rPr>
                <w:rFonts w:ascii="Lato" w:hAnsi="Lato" w:cs="Arial"/>
                <w:color w:val="000000" w:themeColor="text1"/>
              </w:rPr>
              <w:t>Member</w:t>
            </w:r>
            <w:r>
              <w:rPr>
                <w:rFonts w:ascii="Lato" w:hAnsi="Lato" w:cs="Arial"/>
                <w:color w:val="000000" w:themeColor="text1"/>
              </w:rPr>
              <w:t xml:space="preserve"> States.</w:t>
            </w:r>
          </w:p>
          <w:p w14:paraId="4683B1D5" w14:textId="19D3282D" w:rsidR="00D71366" w:rsidRDefault="00D71366" w:rsidP="00D71366">
            <w:pPr>
              <w:spacing w:after="0" w:line="240" w:lineRule="auto"/>
              <w:jc w:val="both"/>
              <w:rPr>
                <w:rFonts w:ascii="Lato" w:hAnsi="Lato" w:cs="Arial"/>
                <w:bCs/>
                <w:color w:val="000000" w:themeColor="text1"/>
              </w:rPr>
            </w:pPr>
          </w:p>
          <w:p w14:paraId="7939A783" w14:textId="454A216E" w:rsidR="00D71366" w:rsidRDefault="00D71366" w:rsidP="00D71366">
            <w:pPr>
              <w:spacing w:after="0" w:line="240" w:lineRule="auto"/>
              <w:jc w:val="both"/>
              <w:rPr>
                <w:rFonts w:ascii="Aptos" w:eastAsia="Times New Roman" w:hAnsi="Aptos"/>
              </w:rPr>
            </w:pPr>
          </w:p>
          <w:p w14:paraId="164C32BA" w14:textId="33DC4527" w:rsidR="00D71366" w:rsidRPr="00EE6A61" w:rsidRDefault="00D71366" w:rsidP="00D71366">
            <w:pPr>
              <w:spacing w:after="0" w:line="240" w:lineRule="auto"/>
              <w:jc w:val="both"/>
              <w:rPr>
                <w:rFonts w:ascii="Lato" w:hAnsi="Lato" w:cs="Arial"/>
                <w:bCs/>
                <w:color w:val="000000" w:themeColor="text1"/>
              </w:rPr>
            </w:pPr>
          </w:p>
        </w:tc>
        <w:tc>
          <w:tcPr>
            <w:tcW w:w="2838" w:type="dxa"/>
            <w:tcBorders>
              <w:bottom w:val="single" w:sz="4" w:space="0" w:color="auto"/>
            </w:tcBorders>
            <w:vAlign w:val="center"/>
          </w:tcPr>
          <w:p w14:paraId="0442C48B" w14:textId="7B170D26" w:rsidR="00D71366" w:rsidRPr="00C91FF8" w:rsidRDefault="00D71366" w:rsidP="00D71366">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D71366" w:rsidRPr="00D15476" w14:paraId="6D9A43A9" w14:textId="77777777" w:rsidTr="00D71366">
        <w:trPr>
          <w:trHeight w:hRule="exact" w:val="663"/>
        </w:trPr>
        <w:tc>
          <w:tcPr>
            <w:tcW w:w="324" w:type="dxa"/>
            <w:tcBorders>
              <w:bottom w:val="single" w:sz="4" w:space="0" w:color="auto"/>
            </w:tcBorders>
            <w:shd w:val="clear" w:color="auto" w:fill="F2F2F2"/>
          </w:tcPr>
          <w:p w14:paraId="1708CEA0" w14:textId="73E4F46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lastRenderedPageBreak/>
              <w:t>4</w:t>
            </w:r>
          </w:p>
        </w:tc>
        <w:tc>
          <w:tcPr>
            <w:tcW w:w="7295" w:type="dxa"/>
            <w:gridSpan w:val="2"/>
            <w:tcBorders>
              <w:bottom w:val="single" w:sz="4" w:space="0" w:color="auto"/>
            </w:tcBorders>
            <w:shd w:val="clear" w:color="auto" w:fill="F2F2F2"/>
          </w:tcPr>
          <w:p w14:paraId="3F4430BA" w14:textId="098550D7" w:rsidR="00D71366" w:rsidRDefault="00D71366" w:rsidP="00D71366">
            <w:pPr>
              <w:spacing w:after="0" w:line="240" w:lineRule="auto"/>
              <w:jc w:val="both"/>
              <w:rPr>
                <w:rFonts w:ascii="Lato" w:hAnsi="Lato" w:cs="Arial"/>
                <w:color w:val="000000" w:themeColor="text1"/>
              </w:rPr>
            </w:pPr>
            <w:r w:rsidRPr="00EE6A61">
              <w:rPr>
                <w:rFonts w:ascii="Lato" w:hAnsi="Lato" w:cs="Arial"/>
                <w:color w:val="000000" w:themeColor="text1"/>
              </w:rPr>
              <w:t xml:space="preserve">A valid Tax Compliance Certificate </w:t>
            </w:r>
            <w:r w:rsidRPr="005D11F9">
              <w:rPr>
                <w:rFonts w:ascii="Lato" w:hAnsi="Lato" w:cs="Arial"/>
                <w:color w:val="000000" w:themeColor="text1"/>
              </w:rPr>
              <w:t>the relevant ministry of Finance/Revenue Authority</w:t>
            </w:r>
            <w:r>
              <w:rPr>
                <w:rFonts w:ascii="Lato" w:hAnsi="Lato" w:cs="Arial"/>
                <w:color w:val="000000" w:themeColor="text1"/>
              </w:rPr>
              <w:t xml:space="preserve"> of Federal Republic of Somalia or Federal </w:t>
            </w:r>
            <w:r w:rsidRPr="009C620B">
              <w:rPr>
                <w:rFonts w:ascii="Lato" w:hAnsi="Lato" w:cs="Arial"/>
                <w:color w:val="000000" w:themeColor="text1"/>
              </w:rPr>
              <w:t>Member</w:t>
            </w:r>
            <w:r>
              <w:rPr>
                <w:rFonts w:ascii="Lato" w:hAnsi="Lato" w:cs="Arial"/>
                <w:color w:val="000000" w:themeColor="text1"/>
              </w:rPr>
              <w:t xml:space="preserve"> States.</w:t>
            </w:r>
          </w:p>
          <w:p w14:paraId="47EB8300" w14:textId="360E22BE" w:rsidR="00D71366" w:rsidRPr="00EE6A61" w:rsidRDefault="00D71366" w:rsidP="00D71366">
            <w:pPr>
              <w:spacing w:after="0" w:line="240" w:lineRule="auto"/>
              <w:jc w:val="both"/>
              <w:rPr>
                <w:rFonts w:ascii="Lato" w:hAnsi="Lato" w:cs="Arial"/>
                <w:bCs/>
                <w:color w:val="000000" w:themeColor="text1"/>
              </w:rPr>
            </w:pPr>
          </w:p>
        </w:tc>
        <w:tc>
          <w:tcPr>
            <w:tcW w:w="2838" w:type="dxa"/>
            <w:tcBorders>
              <w:bottom w:val="single" w:sz="4" w:space="0" w:color="auto"/>
            </w:tcBorders>
            <w:vAlign w:val="center"/>
          </w:tcPr>
          <w:p w14:paraId="310D7DA7" w14:textId="5CC50419" w:rsidR="00D71366" w:rsidRPr="00C91FF8" w:rsidRDefault="00D71366" w:rsidP="00D71366">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D71366" w:rsidRPr="00D15476" w14:paraId="0290719C" w14:textId="77777777" w:rsidTr="00A666C2">
        <w:trPr>
          <w:trHeight w:hRule="exact" w:val="321"/>
        </w:trPr>
        <w:tc>
          <w:tcPr>
            <w:tcW w:w="324" w:type="dxa"/>
            <w:tcBorders>
              <w:bottom w:val="single" w:sz="4" w:space="0" w:color="auto"/>
            </w:tcBorders>
            <w:shd w:val="clear" w:color="auto" w:fill="F2F2F2"/>
          </w:tcPr>
          <w:p w14:paraId="3ED75966" w14:textId="77777777" w:rsidR="00D71366" w:rsidRPr="00D15476" w:rsidRDefault="00D71366" w:rsidP="00D71366">
            <w:pPr>
              <w:spacing w:after="0" w:line="240" w:lineRule="auto"/>
              <w:ind w:hanging="128"/>
              <w:jc w:val="center"/>
              <w:rPr>
                <w:rFonts w:ascii="Lato" w:hAnsi="Lato" w:cs="Arial"/>
                <w:color w:val="000000" w:themeColor="text1"/>
                <w:sz w:val="20"/>
                <w:szCs w:val="20"/>
              </w:rPr>
            </w:pPr>
          </w:p>
        </w:tc>
        <w:tc>
          <w:tcPr>
            <w:tcW w:w="10133" w:type="dxa"/>
            <w:gridSpan w:val="3"/>
          </w:tcPr>
          <w:p w14:paraId="59ADFB59" w14:textId="6079F8B9" w:rsidR="00D71366" w:rsidRPr="005D11F9" w:rsidRDefault="00D71366" w:rsidP="00D71366">
            <w:pPr>
              <w:spacing w:after="0" w:line="240" w:lineRule="auto"/>
              <w:rPr>
                <w:rFonts w:ascii="Lato" w:hAnsi="Lato" w:cs="Arial"/>
                <w:b/>
                <w:color w:val="000000" w:themeColor="text1"/>
                <w:sz w:val="24"/>
                <w:szCs w:val="24"/>
              </w:rPr>
            </w:pPr>
            <w:r w:rsidRPr="005D11F9">
              <w:rPr>
                <w:rFonts w:ascii="Lato" w:hAnsi="Lato" w:cs="Arial"/>
                <w:b/>
                <w:color w:val="000000" w:themeColor="text1"/>
                <w:sz w:val="24"/>
                <w:szCs w:val="24"/>
              </w:rPr>
              <w:t>Capability Criteria (Technical Evaluation):</w:t>
            </w:r>
          </w:p>
        </w:tc>
      </w:tr>
      <w:tr w:rsidR="00D71366" w:rsidRPr="00D15476" w14:paraId="5708565D" w14:textId="77777777" w:rsidTr="00D71366">
        <w:trPr>
          <w:trHeight w:hRule="exact" w:val="1757"/>
        </w:trPr>
        <w:tc>
          <w:tcPr>
            <w:tcW w:w="324" w:type="dxa"/>
            <w:tcBorders>
              <w:bottom w:val="single" w:sz="4" w:space="0" w:color="auto"/>
            </w:tcBorders>
            <w:shd w:val="clear" w:color="auto" w:fill="F2F2F2"/>
          </w:tcPr>
          <w:p w14:paraId="2FDA3D2F" w14:textId="5C6D6187" w:rsidR="00D71366" w:rsidRPr="00D15476" w:rsidRDefault="00D71366" w:rsidP="00D71366">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7295" w:type="dxa"/>
            <w:gridSpan w:val="2"/>
          </w:tcPr>
          <w:p w14:paraId="76D86047" w14:textId="77777777" w:rsidR="00D71366" w:rsidRDefault="00D71366" w:rsidP="00D71366">
            <w:pPr>
              <w:spacing w:after="0" w:line="240" w:lineRule="auto"/>
              <w:jc w:val="both"/>
              <w:rPr>
                <w:rFonts w:ascii="Lato" w:hAnsi="Lato" w:cs="Arial"/>
                <w:sz w:val="20"/>
                <w:szCs w:val="20"/>
                <w:lang w:val="en-GB"/>
              </w:rPr>
            </w:pPr>
            <w:r w:rsidRPr="00D15476">
              <w:rPr>
                <w:rFonts w:ascii="Lato" w:hAnsi="Lato" w:cs="Arial"/>
                <w:sz w:val="20"/>
                <w:szCs w:val="20"/>
                <w:lang w:val="en-GB"/>
              </w:rPr>
              <w:t xml:space="preserve">Detailed technical proposal with clear </w:t>
            </w:r>
            <w:r>
              <w:rPr>
                <w:rFonts w:ascii="Lato" w:hAnsi="Lato" w:cs="Arial"/>
                <w:sz w:val="20"/>
                <w:szCs w:val="20"/>
                <w:lang w:val="en-GB"/>
              </w:rPr>
              <w:t>understanding of the TOR and M</w:t>
            </w:r>
            <w:r w:rsidRPr="00D15476">
              <w:rPr>
                <w:rFonts w:ascii="Lato" w:hAnsi="Lato" w:cs="Arial"/>
                <w:sz w:val="20"/>
                <w:szCs w:val="20"/>
                <w:lang w:val="en-GB"/>
              </w:rPr>
              <w:t xml:space="preserve">ethodology of how the consultant intends to conduct </w:t>
            </w:r>
            <w:r>
              <w:rPr>
                <w:rFonts w:ascii="Lato" w:hAnsi="Lato" w:cs="Arial"/>
                <w:sz w:val="20"/>
                <w:szCs w:val="20"/>
                <w:lang w:val="en-GB"/>
              </w:rPr>
              <w:t xml:space="preserve">assignment with </w:t>
            </w:r>
            <w:r w:rsidRPr="00D15476">
              <w:rPr>
                <w:rFonts w:ascii="Lato" w:hAnsi="Lato" w:cs="Arial"/>
                <w:sz w:val="20"/>
                <w:szCs w:val="20"/>
                <w:lang w:val="en-GB"/>
              </w:rPr>
              <w:t>detailed work plan</w:t>
            </w:r>
            <w:r>
              <w:rPr>
                <w:rFonts w:ascii="Lato" w:hAnsi="Lato" w:cs="Arial"/>
                <w:sz w:val="20"/>
                <w:szCs w:val="20"/>
                <w:lang w:val="en-GB"/>
              </w:rPr>
              <w:t>,</w:t>
            </w:r>
            <w:r w:rsidRPr="00D15476">
              <w:rPr>
                <w:rFonts w:ascii="Lato" w:hAnsi="Lato" w:cs="Arial"/>
                <w:sz w:val="20"/>
                <w:szCs w:val="20"/>
                <w:lang w:val="en-GB"/>
              </w:rPr>
              <w:t xml:space="preserve"> clear milestones, methodologies, data analyses</w:t>
            </w:r>
            <w:r>
              <w:rPr>
                <w:rFonts w:ascii="Lato" w:hAnsi="Lato" w:cs="Arial"/>
                <w:sz w:val="20"/>
                <w:szCs w:val="20"/>
                <w:lang w:val="en-GB"/>
              </w:rPr>
              <w:t xml:space="preserve"> plan </w:t>
            </w:r>
            <w:r w:rsidRPr="00D15476">
              <w:rPr>
                <w:rFonts w:ascii="Lato" w:hAnsi="Lato" w:cs="Arial"/>
                <w:sz w:val="20"/>
                <w:szCs w:val="20"/>
                <w:lang w:val="en-GB"/>
              </w:rPr>
              <w:t xml:space="preserve">including </w:t>
            </w:r>
            <w:r>
              <w:rPr>
                <w:rFonts w:ascii="Lato" w:hAnsi="Lato" w:cs="Arial"/>
                <w:sz w:val="20"/>
                <w:szCs w:val="20"/>
                <w:lang w:val="en-GB"/>
              </w:rPr>
              <w:t xml:space="preserve">any </w:t>
            </w:r>
            <w:r w:rsidRPr="00D15476">
              <w:rPr>
                <w:rFonts w:ascii="Lato" w:hAnsi="Lato" w:cs="Arial"/>
                <w:sz w:val="20"/>
                <w:szCs w:val="20"/>
                <w:lang w:val="en-GB"/>
              </w:rPr>
              <w:t xml:space="preserve">software to be used for analysis. </w:t>
            </w:r>
          </w:p>
          <w:p w14:paraId="65F2741C" w14:textId="77777777" w:rsidR="00D71366" w:rsidRPr="00D15476" w:rsidRDefault="00D71366" w:rsidP="00D71366">
            <w:pPr>
              <w:spacing w:after="0" w:line="240" w:lineRule="auto"/>
              <w:jc w:val="both"/>
              <w:rPr>
                <w:rFonts w:ascii="Lato" w:hAnsi="Lato" w:cs="Arial"/>
                <w:sz w:val="20"/>
                <w:szCs w:val="20"/>
                <w:lang w:val="en-GB"/>
              </w:rPr>
            </w:pPr>
            <w:r w:rsidRPr="00D15476">
              <w:rPr>
                <w:rFonts w:ascii="Lato" w:hAnsi="Lato" w:cs="Arial"/>
                <w:sz w:val="20"/>
                <w:szCs w:val="20"/>
                <w:lang w:val="en-GB"/>
              </w:rPr>
              <w:t>This to be evaluated based on:</w:t>
            </w:r>
          </w:p>
          <w:p w14:paraId="215D3ACE" w14:textId="77777777" w:rsidR="00D71366" w:rsidRDefault="00D71366" w:rsidP="00D71366">
            <w:pPr>
              <w:pStyle w:val="ListParagraph"/>
              <w:numPr>
                <w:ilvl w:val="0"/>
                <w:numId w:val="12"/>
              </w:numPr>
              <w:jc w:val="both"/>
              <w:rPr>
                <w:rFonts w:ascii="Lato" w:eastAsia="Calibri" w:hAnsi="Lato" w:cs="Arial"/>
                <w:b/>
                <w:bCs/>
                <w:sz w:val="20"/>
                <w:szCs w:val="20"/>
                <w:lang w:eastAsia="en-US"/>
              </w:rPr>
            </w:pPr>
            <w:r w:rsidRPr="00981C64">
              <w:rPr>
                <w:rFonts w:ascii="Lato" w:eastAsia="Calibri" w:hAnsi="Lato" w:cs="Arial"/>
                <w:b/>
                <w:bCs/>
                <w:sz w:val="20"/>
                <w:szCs w:val="20"/>
                <w:lang w:eastAsia="en-US"/>
              </w:rPr>
              <w:t xml:space="preserve">Overall quality, clarity, organization and relevance of the technical proposal document </w:t>
            </w:r>
          </w:p>
          <w:p w14:paraId="0FCEC2D9" w14:textId="10A5A224" w:rsidR="00D71366" w:rsidRPr="00E75262" w:rsidRDefault="00D71366" w:rsidP="00D71366">
            <w:pPr>
              <w:pStyle w:val="ListParagraph"/>
              <w:numPr>
                <w:ilvl w:val="0"/>
                <w:numId w:val="12"/>
              </w:numPr>
              <w:jc w:val="both"/>
              <w:rPr>
                <w:rFonts w:ascii="Lato" w:eastAsia="Calibri" w:hAnsi="Lato" w:cs="Arial"/>
                <w:b/>
                <w:bCs/>
                <w:sz w:val="20"/>
                <w:szCs w:val="20"/>
                <w:lang w:eastAsia="en-US"/>
              </w:rPr>
            </w:pPr>
            <w:r w:rsidRPr="00E75262">
              <w:rPr>
                <w:rFonts w:ascii="Lato" w:hAnsi="Lato" w:cs="Arial"/>
                <w:b/>
                <w:bCs/>
                <w:sz w:val="20"/>
                <w:szCs w:val="20"/>
              </w:rPr>
              <w:t>The level of work plan detail and how it is related to the proposed methodology</w:t>
            </w:r>
          </w:p>
          <w:p w14:paraId="010C8858" w14:textId="77777777" w:rsidR="00D71366" w:rsidRDefault="00D71366" w:rsidP="00D71366">
            <w:pPr>
              <w:jc w:val="both"/>
              <w:rPr>
                <w:rFonts w:ascii="Lato" w:hAnsi="Lato" w:cs="Arial"/>
                <w:sz w:val="20"/>
                <w:szCs w:val="20"/>
              </w:rPr>
            </w:pPr>
          </w:p>
          <w:p w14:paraId="56E6410B" w14:textId="77777777" w:rsidR="00D71366" w:rsidRDefault="00D71366" w:rsidP="00D71366">
            <w:pPr>
              <w:jc w:val="both"/>
              <w:rPr>
                <w:rFonts w:ascii="Lato" w:hAnsi="Lato" w:cs="Arial"/>
                <w:sz w:val="20"/>
                <w:szCs w:val="20"/>
              </w:rPr>
            </w:pPr>
          </w:p>
          <w:p w14:paraId="626A0D63" w14:textId="40CD06B8" w:rsidR="00D71366" w:rsidRPr="00E75262" w:rsidRDefault="00D71366" w:rsidP="00D71366">
            <w:pPr>
              <w:jc w:val="both"/>
              <w:rPr>
                <w:rFonts w:ascii="Lato" w:hAnsi="Lato" w:cs="Arial"/>
                <w:sz w:val="20"/>
                <w:szCs w:val="20"/>
              </w:rPr>
            </w:pPr>
          </w:p>
        </w:tc>
        <w:tc>
          <w:tcPr>
            <w:tcW w:w="2838" w:type="dxa"/>
            <w:tcBorders>
              <w:bottom w:val="single" w:sz="4" w:space="0" w:color="auto"/>
            </w:tcBorders>
            <w:vAlign w:val="center"/>
          </w:tcPr>
          <w:p w14:paraId="19907C96" w14:textId="3FDF58FC" w:rsidR="00D71366" w:rsidRPr="00D15476" w:rsidRDefault="00D71366" w:rsidP="00D71366">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2</w:t>
            </w:r>
            <w:r w:rsidRPr="00D15476">
              <w:rPr>
                <w:rFonts w:ascii="Lato" w:hAnsi="Lato" w:cs="Arial"/>
                <w:b/>
                <w:color w:val="000000" w:themeColor="text1"/>
                <w:sz w:val="20"/>
                <w:szCs w:val="20"/>
              </w:rPr>
              <w:t>0 marks</w:t>
            </w:r>
          </w:p>
        </w:tc>
      </w:tr>
      <w:tr w:rsidR="00D71366" w:rsidRPr="00D15476" w14:paraId="228CE34B" w14:textId="77777777" w:rsidTr="00D71366">
        <w:trPr>
          <w:trHeight w:hRule="exact" w:val="441"/>
        </w:trPr>
        <w:tc>
          <w:tcPr>
            <w:tcW w:w="324" w:type="dxa"/>
            <w:tcBorders>
              <w:bottom w:val="single" w:sz="4" w:space="0" w:color="auto"/>
            </w:tcBorders>
            <w:shd w:val="clear" w:color="auto" w:fill="F2F2F2"/>
          </w:tcPr>
          <w:p w14:paraId="26E69271" w14:textId="5869F85F" w:rsidR="00D71366" w:rsidRPr="00D15476" w:rsidRDefault="00D71366" w:rsidP="00D71366">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6</w:t>
            </w:r>
          </w:p>
        </w:tc>
        <w:tc>
          <w:tcPr>
            <w:tcW w:w="7295" w:type="dxa"/>
            <w:gridSpan w:val="2"/>
          </w:tcPr>
          <w:p w14:paraId="768CCC71" w14:textId="31F0C36C" w:rsidR="00D71366" w:rsidRPr="00D15476" w:rsidRDefault="00D71366" w:rsidP="00D71366">
            <w:pPr>
              <w:spacing w:after="0" w:line="240" w:lineRule="auto"/>
              <w:jc w:val="both"/>
              <w:rPr>
                <w:rFonts w:ascii="Lato" w:hAnsi="Lato" w:cs="Arial"/>
                <w:sz w:val="20"/>
                <w:szCs w:val="20"/>
                <w:lang w:val="en-GB"/>
              </w:rPr>
            </w:pPr>
            <w:r w:rsidRPr="00A00AE5">
              <w:rPr>
                <w:rFonts w:ascii="Lato" w:hAnsi="Lato" w:cs="Arial"/>
                <w:sz w:val="20"/>
                <w:szCs w:val="20"/>
                <w:lang w:val="en-GB"/>
              </w:rPr>
              <w:t>Two Copies of the previous similar reports relevant to the subject matter. (1</w:t>
            </w:r>
            <w:r>
              <w:rPr>
                <w:rFonts w:ascii="Lato" w:hAnsi="Lato" w:cs="Arial"/>
                <w:sz w:val="20"/>
                <w:szCs w:val="20"/>
                <w:lang w:val="en-GB"/>
              </w:rPr>
              <w:t>5</w:t>
            </w:r>
            <w:r w:rsidRPr="00A00AE5">
              <w:rPr>
                <w:rFonts w:ascii="Lato" w:hAnsi="Lato" w:cs="Arial"/>
                <w:sz w:val="20"/>
                <w:szCs w:val="20"/>
                <w:lang w:val="en-GB"/>
              </w:rPr>
              <w:t xml:space="preserve"> marks – with each similar report being awarded </w:t>
            </w:r>
            <w:r>
              <w:rPr>
                <w:rFonts w:ascii="Lato" w:hAnsi="Lato" w:cs="Arial"/>
                <w:sz w:val="20"/>
                <w:szCs w:val="20"/>
                <w:lang w:val="en-GB"/>
              </w:rPr>
              <w:t>7.5</w:t>
            </w:r>
            <w:r w:rsidRPr="00A00AE5">
              <w:rPr>
                <w:rFonts w:ascii="Lato" w:hAnsi="Lato" w:cs="Arial"/>
                <w:sz w:val="20"/>
                <w:szCs w:val="20"/>
                <w:lang w:val="en-GB"/>
              </w:rPr>
              <w:t xml:space="preserve"> marks)</w:t>
            </w:r>
          </w:p>
        </w:tc>
        <w:tc>
          <w:tcPr>
            <w:tcW w:w="2838" w:type="dxa"/>
            <w:tcBorders>
              <w:bottom w:val="single" w:sz="4" w:space="0" w:color="auto"/>
            </w:tcBorders>
            <w:vAlign w:val="center"/>
          </w:tcPr>
          <w:p w14:paraId="128C11A0" w14:textId="401D9A22" w:rsidR="00D71366" w:rsidRPr="00D15476" w:rsidRDefault="00D71366" w:rsidP="00D71366">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15</w:t>
            </w:r>
            <w:r w:rsidRPr="00D15476">
              <w:rPr>
                <w:rFonts w:ascii="Lato" w:hAnsi="Lato" w:cs="Arial"/>
                <w:b/>
                <w:color w:val="000000" w:themeColor="text1"/>
                <w:sz w:val="20"/>
                <w:szCs w:val="20"/>
              </w:rPr>
              <w:t xml:space="preserve"> Marks</w:t>
            </w:r>
          </w:p>
        </w:tc>
      </w:tr>
      <w:tr w:rsidR="00D71366" w:rsidRPr="00D15476" w14:paraId="17FA4849" w14:textId="77777777" w:rsidTr="00D71366">
        <w:trPr>
          <w:trHeight w:hRule="exact" w:val="441"/>
        </w:trPr>
        <w:tc>
          <w:tcPr>
            <w:tcW w:w="324" w:type="dxa"/>
            <w:tcBorders>
              <w:bottom w:val="single" w:sz="4" w:space="0" w:color="auto"/>
            </w:tcBorders>
            <w:shd w:val="clear" w:color="auto" w:fill="F2F2F2"/>
          </w:tcPr>
          <w:p w14:paraId="7D10CEF9" w14:textId="40FD00E7" w:rsidR="00D71366" w:rsidRDefault="00D71366" w:rsidP="00D71366">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7</w:t>
            </w:r>
          </w:p>
        </w:tc>
        <w:tc>
          <w:tcPr>
            <w:tcW w:w="7295" w:type="dxa"/>
            <w:gridSpan w:val="2"/>
          </w:tcPr>
          <w:p w14:paraId="08E1179A" w14:textId="70C5E066" w:rsidR="00D71366" w:rsidRPr="00A00AE5" w:rsidRDefault="00D71366" w:rsidP="00D71366">
            <w:pPr>
              <w:spacing w:after="0" w:line="240" w:lineRule="auto"/>
              <w:jc w:val="both"/>
              <w:rPr>
                <w:rFonts w:ascii="Lato" w:hAnsi="Lato" w:cs="Arial"/>
                <w:sz w:val="20"/>
                <w:szCs w:val="20"/>
                <w:lang w:val="en-GB"/>
              </w:rPr>
            </w:pPr>
            <w:r>
              <w:rPr>
                <w:rFonts w:ascii="Lato" w:hAnsi="Lato" w:cs="Arial"/>
                <w:sz w:val="20"/>
                <w:szCs w:val="20"/>
                <w:lang w:val="en-GB"/>
              </w:rPr>
              <w:t xml:space="preserve">Submit official and genuine signed bank statement from </w:t>
            </w:r>
            <w:r w:rsidRPr="00067810">
              <w:rPr>
                <w:rFonts w:ascii="Lato" w:hAnsi="Lato" w:cs="Arial"/>
                <w:sz w:val="20"/>
                <w:szCs w:val="20"/>
                <w:lang w:val="en-GB"/>
              </w:rPr>
              <w:t>1</w:t>
            </w:r>
            <w:r w:rsidRPr="00067810">
              <w:rPr>
                <w:rFonts w:ascii="Lato" w:hAnsi="Lato" w:cs="Arial"/>
                <w:sz w:val="20"/>
                <w:szCs w:val="20"/>
                <w:vertAlign w:val="superscript"/>
                <w:lang w:val="en-GB"/>
              </w:rPr>
              <w:t>st</w:t>
            </w:r>
            <w:r w:rsidRPr="00067810">
              <w:rPr>
                <w:rFonts w:ascii="Lato" w:hAnsi="Lato" w:cs="Arial"/>
                <w:sz w:val="20"/>
                <w:szCs w:val="20"/>
                <w:lang w:val="en-GB"/>
              </w:rPr>
              <w:t xml:space="preserve"> </w:t>
            </w:r>
            <w:r>
              <w:rPr>
                <w:rFonts w:ascii="Lato" w:hAnsi="Lato" w:cs="Arial"/>
                <w:sz w:val="20"/>
                <w:szCs w:val="20"/>
                <w:lang w:val="en-GB"/>
              </w:rPr>
              <w:t>July</w:t>
            </w:r>
            <w:r w:rsidRPr="00067810">
              <w:rPr>
                <w:rFonts w:ascii="Lato" w:hAnsi="Lato" w:cs="Arial"/>
                <w:sz w:val="20"/>
                <w:szCs w:val="20"/>
                <w:lang w:val="en-GB"/>
              </w:rPr>
              <w:t xml:space="preserve"> 202</w:t>
            </w:r>
            <w:r>
              <w:rPr>
                <w:rFonts w:ascii="Lato" w:hAnsi="Lato" w:cs="Arial"/>
                <w:sz w:val="20"/>
                <w:szCs w:val="20"/>
                <w:lang w:val="en-GB"/>
              </w:rPr>
              <w:t>5</w:t>
            </w:r>
            <w:r w:rsidRPr="00067810">
              <w:rPr>
                <w:rFonts w:ascii="Lato" w:hAnsi="Lato" w:cs="Arial"/>
                <w:sz w:val="20"/>
                <w:szCs w:val="20"/>
                <w:lang w:val="en-GB"/>
              </w:rPr>
              <w:t xml:space="preserve"> to 3</w:t>
            </w:r>
            <w:r>
              <w:rPr>
                <w:rFonts w:ascii="Lato" w:hAnsi="Lato" w:cs="Arial"/>
                <w:sz w:val="20"/>
                <w:szCs w:val="20"/>
                <w:lang w:val="en-GB"/>
              </w:rPr>
              <w:t>0</w:t>
            </w:r>
            <w:proofErr w:type="gramStart"/>
            <w:r w:rsidRPr="004C6692">
              <w:rPr>
                <w:rFonts w:ascii="Lato" w:hAnsi="Lato" w:cs="Arial"/>
                <w:sz w:val="20"/>
                <w:szCs w:val="20"/>
                <w:vertAlign w:val="superscript"/>
                <w:lang w:val="en-GB"/>
              </w:rPr>
              <w:t>th</w:t>
            </w:r>
            <w:r>
              <w:rPr>
                <w:rFonts w:ascii="Lato" w:hAnsi="Lato" w:cs="Arial"/>
                <w:sz w:val="20"/>
                <w:szCs w:val="20"/>
                <w:lang w:val="en-GB"/>
              </w:rPr>
              <w:t xml:space="preserve">  June</w:t>
            </w:r>
            <w:proofErr w:type="gramEnd"/>
            <w:r>
              <w:rPr>
                <w:rFonts w:ascii="Lato" w:hAnsi="Lato" w:cs="Arial"/>
                <w:sz w:val="20"/>
                <w:szCs w:val="20"/>
                <w:lang w:val="en-GB"/>
              </w:rPr>
              <w:t xml:space="preserve"> </w:t>
            </w:r>
            <w:r w:rsidRPr="00067810">
              <w:rPr>
                <w:rFonts w:ascii="Lato" w:hAnsi="Lato" w:cs="Arial"/>
                <w:sz w:val="20"/>
                <w:szCs w:val="20"/>
                <w:lang w:val="en-GB"/>
              </w:rPr>
              <w:t>202</w:t>
            </w:r>
            <w:r>
              <w:rPr>
                <w:rFonts w:ascii="Lato" w:hAnsi="Lato" w:cs="Arial"/>
                <w:sz w:val="20"/>
                <w:szCs w:val="20"/>
                <w:lang w:val="en-GB"/>
              </w:rPr>
              <w:t>6.</w:t>
            </w:r>
          </w:p>
        </w:tc>
        <w:tc>
          <w:tcPr>
            <w:tcW w:w="2838" w:type="dxa"/>
            <w:tcBorders>
              <w:bottom w:val="single" w:sz="4" w:space="0" w:color="auto"/>
            </w:tcBorders>
            <w:vAlign w:val="center"/>
          </w:tcPr>
          <w:p w14:paraId="3E532D36" w14:textId="011941C6" w:rsidR="00D71366" w:rsidRDefault="00D71366" w:rsidP="00D71366">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1</w:t>
            </w:r>
            <w:r w:rsidRPr="00D15476">
              <w:rPr>
                <w:rFonts w:ascii="Lato" w:hAnsi="Lato" w:cs="Arial"/>
                <w:b/>
                <w:color w:val="000000" w:themeColor="text1"/>
                <w:sz w:val="20"/>
                <w:szCs w:val="20"/>
              </w:rPr>
              <w:t>0 Marks</w:t>
            </w:r>
          </w:p>
        </w:tc>
      </w:tr>
      <w:tr w:rsidR="00D71366" w:rsidRPr="00D15476" w14:paraId="3C36FD5D" w14:textId="77777777" w:rsidTr="00D71366">
        <w:trPr>
          <w:trHeight w:hRule="exact" w:val="1965"/>
        </w:trPr>
        <w:tc>
          <w:tcPr>
            <w:tcW w:w="324" w:type="dxa"/>
            <w:tcBorders>
              <w:bottom w:val="single" w:sz="4" w:space="0" w:color="auto"/>
            </w:tcBorders>
            <w:shd w:val="clear" w:color="auto" w:fill="F2F2F2"/>
          </w:tcPr>
          <w:p w14:paraId="46CF3F70" w14:textId="54E85F6F" w:rsidR="00D71366" w:rsidRPr="00D15476" w:rsidRDefault="00D71366" w:rsidP="00D71366">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8</w:t>
            </w:r>
          </w:p>
        </w:tc>
        <w:tc>
          <w:tcPr>
            <w:tcW w:w="7295" w:type="dxa"/>
            <w:gridSpan w:val="2"/>
            <w:tcBorders>
              <w:bottom w:val="single" w:sz="4" w:space="0" w:color="auto"/>
            </w:tcBorders>
            <w:shd w:val="clear" w:color="auto" w:fill="F2F2F2"/>
          </w:tcPr>
          <w:p w14:paraId="3C85BA5B" w14:textId="5BD63868" w:rsidR="00D71366" w:rsidRPr="005E747D" w:rsidRDefault="00D71366" w:rsidP="00D71366">
            <w:pPr>
              <w:spacing w:after="0" w:line="240" w:lineRule="auto"/>
              <w:jc w:val="both"/>
              <w:rPr>
                <w:rFonts w:ascii="Arial" w:hAnsi="Arial" w:cs="Arial"/>
                <w:bCs/>
                <w:color w:val="000000" w:themeColor="text1"/>
                <w:sz w:val="24"/>
                <w:szCs w:val="24"/>
              </w:rPr>
            </w:pPr>
            <w:r w:rsidRPr="005E747D">
              <w:rPr>
                <w:rFonts w:ascii="Lato" w:hAnsi="Lato" w:cs="Arial"/>
                <w:sz w:val="20"/>
                <w:szCs w:val="20"/>
                <w:lang w:val="en-GB"/>
              </w:rPr>
              <w:t>Experience in conducting similar assignments related</w:t>
            </w:r>
            <w:r w:rsidRPr="005E747D">
              <w:rPr>
                <w:rFonts w:ascii="Arial" w:hAnsi="Arial" w:cs="Arial"/>
                <w:bCs/>
                <w:color w:val="000000" w:themeColor="text1"/>
                <w:sz w:val="24"/>
                <w:szCs w:val="24"/>
              </w:rPr>
              <w:t xml:space="preserve"> </w:t>
            </w:r>
            <w:r w:rsidRPr="005E747D">
              <w:rPr>
                <w:rFonts w:ascii="Lato" w:hAnsi="Lato" w:cs="Arial"/>
                <w:sz w:val="20"/>
                <w:szCs w:val="20"/>
                <w:lang w:val="en-GB"/>
              </w:rPr>
              <w:t>to the subject matter as proven experience.</w:t>
            </w:r>
            <w:r w:rsidRPr="005E747D">
              <w:rPr>
                <w:rFonts w:ascii="Arial" w:hAnsi="Arial" w:cs="Arial"/>
                <w:bCs/>
                <w:color w:val="000000" w:themeColor="text1"/>
                <w:sz w:val="24"/>
                <w:szCs w:val="24"/>
              </w:rPr>
              <w:t xml:space="preserve"> </w:t>
            </w:r>
            <w:r w:rsidRPr="005E747D">
              <w:rPr>
                <w:rFonts w:ascii="Lato" w:hAnsi="Lato" w:cs="Arial"/>
                <w:sz w:val="20"/>
                <w:szCs w:val="20"/>
                <w:lang w:val="en-GB"/>
              </w:rPr>
              <w:t>This to be evaluated based on:</w:t>
            </w:r>
            <w:r w:rsidRPr="005E747D">
              <w:rPr>
                <w:rFonts w:ascii="Arial" w:hAnsi="Arial" w:cs="Arial"/>
                <w:bCs/>
                <w:color w:val="000000" w:themeColor="text1"/>
                <w:sz w:val="24"/>
                <w:szCs w:val="24"/>
              </w:rPr>
              <w:t xml:space="preserve"> </w:t>
            </w:r>
          </w:p>
          <w:p w14:paraId="31498991" w14:textId="7D6ECA06" w:rsidR="00D71366" w:rsidRPr="005E747D" w:rsidRDefault="00D71366" w:rsidP="00D71366">
            <w:pPr>
              <w:pStyle w:val="ListParagraph"/>
              <w:numPr>
                <w:ilvl w:val="0"/>
                <w:numId w:val="9"/>
              </w:numPr>
              <w:jc w:val="both"/>
              <w:rPr>
                <w:rFonts w:ascii="Lato" w:eastAsia="Calibri" w:hAnsi="Lato" w:cs="Arial"/>
                <w:b/>
                <w:color w:val="000000" w:themeColor="text1"/>
                <w:sz w:val="18"/>
                <w:szCs w:val="18"/>
                <w:lang w:val="en-US" w:eastAsia="en-US"/>
              </w:rPr>
            </w:pPr>
            <w:r w:rsidRPr="005E747D">
              <w:rPr>
                <w:rFonts w:ascii="Lato" w:eastAsia="Calibri" w:hAnsi="Lato" w:cs="Arial"/>
                <w:b/>
                <w:color w:val="000000" w:themeColor="text1"/>
                <w:sz w:val="18"/>
                <w:szCs w:val="18"/>
                <w:lang w:val="en-US" w:eastAsia="en-US"/>
              </w:rPr>
              <w:t xml:space="preserve">Prior experience for </w:t>
            </w:r>
            <w:r w:rsidRPr="005E747D">
              <w:rPr>
                <w:rFonts w:ascii="Lato" w:hAnsi="Lato"/>
                <w:b/>
                <w:sz w:val="18"/>
                <w:szCs w:val="18"/>
              </w:rPr>
              <w:t>Employment</w:t>
            </w:r>
            <w:r w:rsidRPr="005E747D">
              <w:rPr>
                <w:rFonts w:ascii="Lato" w:eastAsia="Calibri" w:hAnsi="Lato" w:cs="Arial"/>
                <w:b/>
                <w:color w:val="000000" w:themeColor="text1"/>
                <w:sz w:val="18"/>
                <w:szCs w:val="18"/>
                <w:lang w:val="en-US" w:eastAsia="en-US"/>
              </w:rPr>
              <w:t xml:space="preserve"> Vulnerability Assessment or related fields</w:t>
            </w:r>
            <w:r w:rsidRPr="005E747D">
              <w:rPr>
                <w:rFonts w:ascii="Lato" w:eastAsia="Calibri" w:hAnsi="Lato" w:cs="Arial"/>
                <w:b/>
                <w:sz w:val="18"/>
                <w:szCs w:val="18"/>
                <w:lang w:eastAsia="en-US"/>
              </w:rPr>
              <w:t xml:space="preserve"> </w:t>
            </w:r>
            <w:r w:rsidRPr="005E747D">
              <w:rPr>
                <w:rFonts w:ascii="Lato" w:eastAsia="Calibri" w:hAnsi="Lato" w:cs="Arial"/>
                <w:b/>
                <w:color w:val="000000" w:themeColor="text1"/>
                <w:sz w:val="18"/>
                <w:szCs w:val="18"/>
                <w:lang w:val="en-US" w:eastAsia="en-US"/>
              </w:rPr>
              <w:t>(10 Marks) - Please provide at least two contracts </w:t>
            </w:r>
            <w:r w:rsidRPr="005E747D">
              <w:rPr>
                <w:rFonts w:ascii="Lato" w:eastAsia="Calibri" w:hAnsi="Lato" w:cs="Arial"/>
                <w:b/>
                <w:color w:val="000000" w:themeColor="text1"/>
                <w:sz w:val="18"/>
                <w:szCs w:val="18"/>
                <w:lang w:val="en-US" w:eastAsia="en-US"/>
              </w:rPr>
              <w:br/>
              <w:t>and/or LPOs - (10 Marks each carry 5 marks)</w:t>
            </w:r>
          </w:p>
          <w:p w14:paraId="6D2F419C" w14:textId="4B10203E" w:rsidR="00D71366" w:rsidRPr="005E747D" w:rsidRDefault="00D71366" w:rsidP="00D71366">
            <w:pPr>
              <w:pStyle w:val="ListParagraph"/>
              <w:numPr>
                <w:ilvl w:val="0"/>
                <w:numId w:val="9"/>
              </w:numPr>
              <w:jc w:val="both"/>
              <w:rPr>
                <w:rFonts w:ascii="Lato" w:eastAsia="Calibri" w:hAnsi="Lato" w:cs="Arial"/>
                <w:b/>
                <w:color w:val="000000" w:themeColor="text1"/>
                <w:sz w:val="18"/>
                <w:szCs w:val="18"/>
                <w:lang w:val="en-US" w:eastAsia="en-US"/>
              </w:rPr>
            </w:pPr>
            <w:r w:rsidRPr="005E747D">
              <w:rPr>
                <w:rFonts w:ascii="Lato" w:hAnsi="Lato" w:cs="Arial"/>
                <w:b/>
                <w:color w:val="000000" w:themeColor="text1"/>
                <w:sz w:val="18"/>
                <w:szCs w:val="18"/>
              </w:rPr>
              <w:t xml:space="preserve">Two CVs for the proposed technical team detailing qualifications and experience </w:t>
            </w:r>
            <w:r w:rsidRPr="005E747D">
              <w:rPr>
                <w:rFonts w:ascii="Lato" w:eastAsia="Calibri" w:hAnsi="Lato" w:cs="Arial"/>
                <w:b/>
                <w:color w:val="000000" w:themeColor="text1"/>
                <w:sz w:val="18"/>
                <w:szCs w:val="18"/>
                <w:lang w:val="en-US" w:eastAsia="en-US"/>
              </w:rPr>
              <w:t>(10 Marks each carry 5 marks)</w:t>
            </w:r>
          </w:p>
          <w:p w14:paraId="48F4F7E1" w14:textId="582EBACB" w:rsidR="00D71366" w:rsidRPr="005E747D" w:rsidRDefault="00D71366" w:rsidP="00D71366">
            <w:pPr>
              <w:pStyle w:val="ListParagraph"/>
              <w:numPr>
                <w:ilvl w:val="0"/>
                <w:numId w:val="9"/>
              </w:numPr>
              <w:jc w:val="both"/>
              <w:rPr>
                <w:rFonts w:ascii="Lato" w:hAnsi="Lato" w:cs="Arial"/>
                <w:b/>
                <w:color w:val="000000" w:themeColor="text1"/>
                <w:sz w:val="18"/>
                <w:szCs w:val="18"/>
              </w:rPr>
            </w:pPr>
            <w:r w:rsidRPr="005E747D">
              <w:rPr>
                <w:rFonts w:ascii="Lato" w:hAnsi="Lato" w:cs="Arial"/>
                <w:b/>
                <w:color w:val="000000" w:themeColor="text1"/>
                <w:sz w:val="18"/>
                <w:szCs w:val="18"/>
              </w:rPr>
              <w:t xml:space="preserve">Cover letter introducing the company, outlining their technical expertise and interest for the assignment including their technical suitability. </w:t>
            </w:r>
            <w:r w:rsidRPr="005E747D">
              <w:rPr>
                <w:rFonts w:ascii="Lato" w:hAnsi="Lato" w:cs="Arial"/>
                <w:b/>
                <w:sz w:val="18"/>
                <w:szCs w:val="18"/>
              </w:rPr>
              <w:t>(5 marks max).</w:t>
            </w:r>
          </w:p>
          <w:p w14:paraId="17C195A4" w14:textId="22816192" w:rsidR="00D71366" w:rsidRPr="00D15476" w:rsidRDefault="00D71366" w:rsidP="00D71366">
            <w:pPr>
              <w:pStyle w:val="ListParagraph"/>
              <w:numPr>
                <w:ilvl w:val="0"/>
                <w:numId w:val="9"/>
              </w:numPr>
              <w:jc w:val="both"/>
              <w:rPr>
                <w:rFonts w:ascii="Lato" w:hAnsi="Lato" w:cs="Arial"/>
                <w:bCs/>
                <w:color w:val="000000" w:themeColor="text1"/>
                <w:sz w:val="20"/>
                <w:szCs w:val="20"/>
              </w:rPr>
            </w:pPr>
            <w:r w:rsidRPr="005E747D">
              <w:rPr>
                <w:rFonts w:ascii="Lato" w:hAnsi="Lato" w:cs="Arial"/>
                <w:b/>
                <w:color w:val="000000" w:themeColor="text1"/>
                <w:sz w:val="18"/>
                <w:szCs w:val="18"/>
              </w:rPr>
              <w:t>Updated Company Profile (Optional)</w:t>
            </w:r>
          </w:p>
        </w:tc>
        <w:tc>
          <w:tcPr>
            <w:tcW w:w="2838" w:type="dxa"/>
            <w:tcBorders>
              <w:bottom w:val="single" w:sz="4" w:space="0" w:color="auto"/>
            </w:tcBorders>
            <w:vAlign w:val="center"/>
          </w:tcPr>
          <w:p w14:paraId="789661E8" w14:textId="734D9B9A" w:rsidR="00D71366" w:rsidRPr="00D15476" w:rsidRDefault="00D71366" w:rsidP="00D71366">
            <w:pPr>
              <w:spacing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2</w:t>
            </w:r>
            <w:r>
              <w:rPr>
                <w:rFonts w:ascii="Lato" w:hAnsi="Lato" w:cs="Arial"/>
                <w:b/>
                <w:color w:val="000000" w:themeColor="text1"/>
                <w:sz w:val="20"/>
                <w:szCs w:val="20"/>
              </w:rPr>
              <w:t>5</w:t>
            </w:r>
            <w:r w:rsidRPr="00D15476">
              <w:rPr>
                <w:rFonts w:ascii="Lato" w:hAnsi="Lato" w:cs="Arial"/>
                <w:b/>
                <w:color w:val="000000" w:themeColor="text1"/>
                <w:sz w:val="20"/>
                <w:szCs w:val="20"/>
              </w:rPr>
              <w:t xml:space="preserve"> Marks</w:t>
            </w:r>
          </w:p>
        </w:tc>
      </w:tr>
      <w:tr w:rsidR="00D71366" w:rsidRPr="00D15476" w14:paraId="2FB389E6" w14:textId="77777777" w:rsidTr="00A666C2">
        <w:trPr>
          <w:trHeight w:hRule="exact" w:val="242"/>
        </w:trPr>
        <w:tc>
          <w:tcPr>
            <w:tcW w:w="324" w:type="dxa"/>
            <w:tcBorders>
              <w:bottom w:val="single" w:sz="4" w:space="0" w:color="auto"/>
            </w:tcBorders>
            <w:shd w:val="clear" w:color="auto" w:fill="F2F2F2"/>
          </w:tcPr>
          <w:p w14:paraId="439FEA55" w14:textId="77777777" w:rsidR="00D71366" w:rsidRPr="00D15476" w:rsidRDefault="00D71366" w:rsidP="00D71366">
            <w:pPr>
              <w:spacing w:line="240" w:lineRule="auto"/>
              <w:ind w:hanging="128"/>
              <w:jc w:val="center"/>
              <w:rPr>
                <w:rFonts w:ascii="Lato" w:hAnsi="Lato" w:cs="Arial"/>
                <w:color w:val="000000" w:themeColor="text1"/>
                <w:sz w:val="20"/>
                <w:szCs w:val="20"/>
              </w:rPr>
            </w:pPr>
          </w:p>
        </w:tc>
        <w:tc>
          <w:tcPr>
            <w:tcW w:w="10133" w:type="dxa"/>
            <w:gridSpan w:val="3"/>
            <w:tcBorders>
              <w:bottom w:val="single" w:sz="4" w:space="0" w:color="auto"/>
            </w:tcBorders>
            <w:shd w:val="clear" w:color="auto" w:fill="F2F2F2"/>
          </w:tcPr>
          <w:p w14:paraId="7BEC34D3" w14:textId="6C41BADB" w:rsidR="00D71366" w:rsidRPr="00C91FF8" w:rsidRDefault="00D71366" w:rsidP="00D71366">
            <w:pPr>
              <w:spacing w:after="0" w:line="240" w:lineRule="auto"/>
              <w:rPr>
                <w:rFonts w:ascii="Lato" w:hAnsi="Lato" w:cs="Arial"/>
                <w:b/>
                <w:color w:val="000000" w:themeColor="text1"/>
                <w:sz w:val="24"/>
                <w:szCs w:val="24"/>
              </w:rPr>
            </w:pPr>
            <w:r w:rsidRPr="00C91FF8">
              <w:rPr>
                <w:rFonts w:ascii="Lato" w:hAnsi="Lato" w:cs="Arial"/>
                <w:b/>
                <w:color w:val="000000" w:themeColor="text1"/>
                <w:sz w:val="24"/>
                <w:szCs w:val="24"/>
              </w:rPr>
              <w:t>Commercial Criteria (Financial Evaluation):</w:t>
            </w:r>
          </w:p>
        </w:tc>
      </w:tr>
      <w:tr w:rsidR="00D71366" w:rsidRPr="00D15476" w14:paraId="1823B559" w14:textId="77777777" w:rsidTr="00D71366">
        <w:trPr>
          <w:trHeight w:hRule="exact" w:val="792"/>
        </w:trPr>
        <w:tc>
          <w:tcPr>
            <w:tcW w:w="324" w:type="dxa"/>
            <w:tcBorders>
              <w:bottom w:val="single" w:sz="4" w:space="0" w:color="auto"/>
            </w:tcBorders>
            <w:shd w:val="clear" w:color="auto" w:fill="F2F2F2"/>
          </w:tcPr>
          <w:p w14:paraId="62520B90" w14:textId="6F33FB03" w:rsidR="00D71366" w:rsidRPr="00D15476" w:rsidRDefault="00D71366" w:rsidP="00D71366">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9</w:t>
            </w:r>
          </w:p>
        </w:tc>
        <w:tc>
          <w:tcPr>
            <w:tcW w:w="7295" w:type="dxa"/>
            <w:gridSpan w:val="2"/>
            <w:tcBorders>
              <w:bottom w:val="single" w:sz="4" w:space="0" w:color="auto"/>
              <w:right w:val="single" w:sz="4" w:space="0" w:color="auto"/>
            </w:tcBorders>
            <w:shd w:val="clear" w:color="auto" w:fill="F2F2F2"/>
          </w:tcPr>
          <w:p w14:paraId="6BB93B71" w14:textId="46ACCEDB" w:rsidR="00D71366" w:rsidRDefault="00D71366" w:rsidP="00D71366">
            <w:pPr>
              <w:spacing w:after="0" w:line="240" w:lineRule="auto"/>
              <w:jc w:val="both"/>
              <w:rPr>
                <w:rFonts w:ascii="Lato" w:hAnsi="Lato" w:cs="Arial"/>
                <w:bCs/>
                <w:color w:val="000000" w:themeColor="text1"/>
                <w:sz w:val="20"/>
                <w:szCs w:val="20"/>
              </w:rPr>
            </w:pPr>
            <w:r w:rsidRPr="00FC674A">
              <w:rPr>
                <w:rFonts w:ascii="Lato" w:hAnsi="Lato" w:cs="Arial"/>
                <w:bCs/>
                <w:color w:val="000000" w:themeColor="text1"/>
                <w:sz w:val="20"/>
                <w:szCs w:val="20"/>
              </w:rPr>
              <w:t xml:space="preserve">Detailed financial proposal with budget breakdown including all </w:t>
            </w:r>
            <w:r>
              <w:rPr>
                <w:rFonts w:ascii="Lato" w:hAnsi="Lato" w:cs="Arial"/>
                <w:bCs/>
                <w:color w:val="000000" w:themeColor="text1"/>
                <w:sz w:val="20"/>
                <w:szCs w:val="20"/>
              </w:rPr>
              <w:t>related professional fees and related expenses.</w:t>
            </w:r>
          </w:p>
          <w:p w14:paraId="00927998" w14:textId="08FAE897" w:rsidR="00D71366" w:rsidRPr="00D15476" w:rsidRDefault="00D71366" w:rsidP="00D71366">
            <w:pPr>
              <w:spacing w:after="0" w:line="240" w:lineRule="auto"/>
              <w:jc w:val="both"/>
              <w:rPr>
                <w:rFonts w:ascii="Lato" w:hAnsi="Lato" w:cs="Arial"/>
                <w:bCs/>
                <w:color w:val="000000" w:themeColor="text1"/>
                <w:sz w:val="20"/>
                <w:szCs w:val="20"/>
              </w:rPr>
            </w:pPr>
            <m:oMathPara>
              <m:oMath>
                <m:d>
                  <m:dPr>
                    <m:begChr m:val="{"/>
                    <m:endChr m:val="}"/>
                    <m:ctrlPr>
                      <w:rPr>
                        <w:rFonts w:ascii="Cambria Math" w:hAnsi="Cambria Math" w:cs="Calibri"/>
                        <w:b/>
                        <w:i/>
                        <w:sz w:val="20"/>
                        <w:szCs w:val="20"/>
                      </w:rPr>
                    </m:ctrlPr>
                  </m:dPr>
                  <m:e>
                    <m:f>
                      <m:fPr>
                        <m:ctrlPr>
                          <w:rPr>
                            <w:rFonts w:ascii="Cambria Math" w:hAnsi="Cambria Math" w:cs="Calibri"/>
                            <w:b/>
                            <w:i/>
                            <w:sz w:val="20"/>
                            <w:szCs w:val="20"/>
                          </w:rPr>
                        </m:ctrlPr>
                      </m:fPr>
                      <m:num>
                        <m:r>
                          <m:rPr>
                            <m:sty m:val="bi"/>
                          </m:rPr>
                          <w:rPr>
                            <w:rFonts w:ascii="Cambria Math" w:hAnsi="Cambria Math" w:cs="Calibri"/>
                            <w:sz w:val="20"/>
                            <w:szCs w:val="20"/>
                          </w:rPr>
                          <m:t>100% x Lowest bid value</m:t>
                        </m:r>
                      </m:num>
                      <m:den>
                        <m:r>
                          <m:rPr>
                            <m:sty m:val="bi"/>
                          </m:rPr>
                          <w:rPr>
                            <w:rFonts w:ascii="Cambria Math" w:hAnsi="Cambria Math" w:cs="Calibri"/>
                            <w:sz w:val="20"/>
                            <w:szCs w:val="20"/>
                          </w:rPr>
                          <m:t>Current value bid</m:t>
                        </m:r>
                      </m:den>
                    </m:f>
                  </m:e>
                </m:d>
                <m:r>
                  <m:rPr>
                    <m:sty m:val="bi"/>
                  </m:rPr>
                  <w:rPr>
                    <w:rFonts w:ascii="Cambria Math" w:hAnsi="Cambria Math" w:cs="Calibri"/>
                    <w:sz w:val="20"/>
                    <w:szCs w:val="20"/>
                  </w:rPr>
                  <m:t xml:space="preserve"> x 0</m:t>
                </m:r>
                <m:r>
                  <m:rPr>
                    <m:sty m:val="bi"/>
                  </m:rPr>
                  <w:rPr>
                    <w:rFonts w:ascii="Cambria Math" w:hAnsi="Cambria Math" w:cs="Arial"/>
                    <w:sz w:val="20"/>
                    <w:szCs w:val="20"/>
                  </w:rPr>
                  <m:t>.30</m:t>
                </m:r>
              </m:oMath>
            </m:oMathPara>
          </w:p>
        </w:tc>
        <w:tc>
          <w:tcPr>
            <w:tcW w:w="2838" w:type="dxa"/>
            <w:tcBorders>
              <w:left w:val="single" w:sz="4" w:space="0" w:color="auto"/>
              <w:bottom w:val="single" w:sz="4" w:space="0" w:color="auto"/>
            </w:tcBorders>
            <w:vAlign w:val="center"/>
          </w:tcPr>
          <w:p w14:paraId="0E4F6D60" w14:textId="18FF8B6C" w:rsidR="00D71366" w:rsidRPr="00D15476" w:rsidRDefault="00D71366" w:rsidP="00D71366">
            <w:pPr>
              <w:spacing w:line="240" w:lineRule="auto"/>
              <w:jc w:val="center"/>
              <w:rPr>
                <w:rFonts w:ascii="Lato" w:hAnsi="Lato" w:cs="Arial"/>
                <w:b/>
                <w:color w:val="000000" w:themeColor="text1"/>
                <w:sz w:val="20"/>
                <w:szCs w:val="20"/>
              </w:rPr>
            </w:pPr>
            <w:r>
              <w:rPr>
                <w:rFonts w:ascii="Lato" w:hAnsi="Lato" w:cs="Arial"/>
                <w:b/>
                <w:color w:val="000000" w:themeColor="text1"/>
                <w:sz w:val="20"/>
                <w:szCs w:val="20"/>
              </w:rPr>
              <w:t>30</w:t>
            </w:r>
            <w:r w:rsidRPr="00D15476">
              <w:rPr>
                <w:rFonts w:ascii="Lato" w:hAnsi="Lato" w:cs="Arial"/>
                <w:b/>
                <w:color w:val="000000" w:themeColor="text1"/>
                <w:sz w:val="20"/>
                <w:szCs w:val="20"/>
              </w:rPr>
              <w:t xml:space="preserve"> marks</w:t>
            </w:r>
          </w:p>
        </w:tc>
      </w:tr>
      <w:tr w:rsidR="00D71366" w:rsidRPr="00D15476" w14:paraId="3A795FCC" w14:textId="77777777" w:rsidTr="00D71366">
        <w:trPr>
          <w:trHeight w:hRule="exact" w:val="270"/>
        </w:trPr>
        <w:tc>
          <w:tcPr>
            <w:tcW w:w="324" w:type="dxa"/>
            <w:tcBorders>
              <w:bottom w:val="single" w:sz="4" w:space="0" w:color="auto"/>
            </w:tcBorders>
            <w:shd w:val="clear" w:color="auto" w:fill="F2F2F2"/>
          </w:tcPr>
          <w:p w14:paraId="5C79E37A" w14:textId="77777777" w:rsidR="00D71366" w:rsidRPr="009B782C" w:rsidRDefault="00D71366" w:rsidP="00D71366">
            <w:pPr>
              <w:spacing w:line="240" w:lineRule="auto"/>
              <w:ind w:hanging="128"/>
              <w:rPr>
                <w:rFonts w:ascii="Lato" w:hAnsi="Lato" w:cs="Arial"/>
                <w:b/>
                <w:color w:val="000000" w:themeColor="text1"/>
                <w:sz w:val="20"/>
                <w:szCs w:val="20"/>
              </w:rPr>
            </w:pPr>
          </w:p>
        </w:tc>
        <w:tc>
          <w:tcPr>
            <w:tcW w:w="7295" w:type="dxa"/>
            <w:gridSpan w:val="2"/>
            <w:tcBorders>
              <w:bottom w:val="single" w:sz="4" w:space="0" w:color="auto"/>
            </w:tcBorders>
            <w:shd w:val="clear" w:color="auto" w:fill="BFBFBF" w:themeFill="background1" w:themeFillShade="BF"/>
          </w:tcPr>
          <w:p w14:paraId="0FD96A7B" w14:textId="77777777" w:rsidR="00D71366" w:rsidRPr="009B782C" w:rsidRDefault="00D71366" w:rsidP="00D71366">
            <w:pPr>
              <w:spacing w:line="240" w:lineRule="auto"/>
              <w:rPr>
                <w:rFonts w:ascii="Lato" w:hAnsi="Lato" w:cs="Arial"/>
                <w:b/>
                <w:color w:val="000000" w:themeColor="text1"/>
                <w:sz w:val="20"/>
                <w:szCs w:val="20"/>
              </w:rPr>
            </w:pPr>
            <w:r w:rsidRPr="009B782C">
              <w:rPr>
                <w:rFonts w:ascii="Lato" w:hAnsi="Lato" w:cs="Arial"/>
                <w:b/>
                <w:color w:val="000000" w:themeColor="text1"/>
                <w:sz w:val="20"/>
                <w:szCs w:val="20"/>
              </w:rPr>
              <w:t xml:space="preserve">Total </w:t>
            </w:r>
          </w:p>
          <w:p w14:paraId="4B18AE97" w14:textId="549796E6" w:rsidR="00D71366" w:rsidRPr="009B782C" w:rsidRDefault="00D71366" w:rsidP="00D71366">
            <w:pPr>
              <w:spacing w:line="240" w:lineRule="auto"/>
              <w:rPr>
                <w:rFonts w:ascii="Lato" w:hAnsi="Lato" w:cs="Arial"/>
                <w:b/>
                <w:color w:val="000000" w:themeColor="text1"/>
                <w:sz w:val="20"/>
                <w:szCs w:val="20"/>
              </w:rPr>
            </w:pPr>
          </w:p>
        </w:tc>
        <w:tc>
          <w:tcPr>
            <w:tcW w:w="2838" w:type="dxa"/>
            <w:tcBorders>
              <w:bottom w:val="single" w:sz="4" w:space="0" w:color="auto"/>
            </w:tcBorders>
            <w:shd w:val="clear" w:color="auto" w:fill="BFBFBF" w:themeFill="background1" w:themeFillShade="BF"/>
          </w:tcPr>
          <w:p w14:paraId="0CEEA695" w14:textId="5097B5D1" w:rsidR="00D71366" w:rsidRPr="00D15476" w:rsidRDefault="00D71366" w:rsidP="00D71366">
            <w:pPr>
              <w:spacing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100 marks</w:t>
            </w:r>
          </w:p>
        </w:tc>
      </w:tr>
      <w:tr w:rsidR="00D71366" w:rsidRPr="00D15476" w14:paraId="6A450758" w14:textId="77777777" w:rsidTr="00A666C2">
        <w:trPr>
          <w:trHeight w:hRule="exact" w:val="544"/>
        </w:trPr>
        <w:tc>
          <w:tcPr>
            <w:tcW w:w="10457" w:type="dxa"/>
            <w:gridSpan w:val="4"/>
            <w:tcBorders>
              <w:bottom w:val="single" w:sz="4" w:space="0" w:color="auto"/>
            </w:tcBorders>
            <w:shd w:val="clear" w:color="auto" w:fill="F2F2F2"/>
          </w:tcPr>
          <w:p w14:paraId="78D66332" w14:textId="15D2EFB9" w:rsidR="00D71366" w:rsidRDefault="00D71366" w:rsidP="00D71366">
            <w:pPr>
              <w:spacing w:line="240" w:lineRule="auto"/>
              <w:ind w:hanging="128"/>
              <w:jc w:val="both"/>
              <w:rPr>
                <w:rFonts w:ascii="Lato" w:hAnsi="Lato" w:cs="Arial"/>
                <w:sz w:val="21"/>
                <w:szCs w:val="21"/>
                <w:lang w:val="en-GB"/>
              </w:rPr>
            </w:pPr>
            <w:r w:rsidRPr="009B782C">
              <w:rPr>
                <w:rFonts w:ascii="Lato" w:hAnsi="Lato" w:cs="Arial"/>
                <w:b/>
                <w:bCs/>
                <w:sz w:val="21"/>
                <w:szCs w:val="21"/>
                <w:lang w:val="en-GB"/>
              </w:rPr>
              <w:t xml:space="preserve">Note: </w:t>
            </w:r>
            <w:r w:rsidRPr="009B782C">
              <w:rPr>
                <w:rFonts w:ascii="Lato" w:hAnsi="Lato" w:cs="Arial"/>
                <w:sz w:val="21"/>
                <w:szCs w:val="21"/>
                <w:lang w:val="en-GB"/>
              </w:rPr>
              <w:t xml:space="preserve">For the technical analysis, </w:t>
            </w:r>
            <w:r w:rsidRPr="009B782C">
              <w:rPr>
                <w:rFonts w:ascii="Lato" w:hAnsi="Lato" w:cs="Arial"/>
                <w:b/>
                <w:bCs/>
                <w:sz w:val="21"/>
                <w:szCs w:val="21"/>
                <w:u w:val="single"/>
                <w:lang w:val="en-GB"/>
              </w:rPr>
              <w:t>a company must pass the essential criteria and score 60% and above on the capability</w:t>
            </w:r>
            <w:r w:rsidRPr="009B782C">
              <w:rPr>
                <w:rFonts w:ascii="Lato" w:hAnsi="Lato" w:cs="Arial"/>
                <w:sz w:val="21"/>
                <w:szCs w:val="21"/>
                <w:lang w:val="en-GB"/>
              </w:rPr>
              <w:t xml:space="preserve"> to be considered in the next evaluation process and the ultimate decision will be based on interview </w:t>
            </w:r>
            <w:r>
              <w:rPr>
                <w:rFonts w:ascii="Lato" w:hAnsi="Lato" w:cs="Arial"/>
                <w:sz w:val="21"/>
                <w:szCs w:val="21"/>
                <w:lang w:val="en-GB"/>
              </w:rPr>
              <w:t xml:space="preserve">performance </w:t>
            </w:r>
          </w:p>
          <w:p w14:paraId="7ADA22DA" w14:textId="77777777" w:rsidR="00D71366" w:rsidRDefault="00D71366" w:rsidP="00D71366">
            <w:pPr>
              <w:spacing w:line="240" w:lineRule="auto"/>
              <w:ind w:hanging="128"/>
              <w:jc w:val="both"/>
              <w:rPr>
                <w:rFonts w:ascii="Lato" w:hAnsi="Lato" w:cs="Arial"/>
                <w:sz w:val="21"/>
                <w:szCs w:val="21"/>
                <w:lang w:val="en-GB"/>
              </w:rPr>
            </w:pPr>
          </w:p>
          <w:p w14:paraId="1DBC4B1A" w14:textId="77777777" w:rsidR="00D71366" w:rsidRDefault="00D71366" w:rsidP="00D71366">
            <w:pPr>
              <w:spacing w:line="240" w:lineRule="auto"/>
              <w:ind w:hanging="128"/>
              <w:jc w:val="both"/>
              <w:rPr>
                <w:rFonts w:ascii="Lato" w:hAnsi="Lato" w:cs="Arial"/>
                <w:sz w:val="21"/>
                <w:szCs w:val="21"/>
                <w:lang w:val="en-GB"/>
              </w:rPr>
            </w:pPr>
          </w:p>
          <w:p w14:paraId="36D7F26F" w14:textId="77777777" w:rsidR="00D71366" w:rsidRPr="009B782C" w:rsidRDefault="00D71366" w:rsidP="00D71366">
            <w:pPr>
              <w:spacing w:line="240" w:lineRule="auto"/>
              <w:ind w:hanging="128"/>
              <w:jc w:val="both"/>
              <w:rPr>
                <w:rFonts w:ascii="Lato" w:hAnsi="Lato" w:cs="Arial"/>
                <w:b/>
                <w:bCs/>
                <w:sz w:val="21"/>
                <w:szCs w:val="21"/>
                <w:lang w:val="en-GB"/>
              </w:rPr>
            </w:pPr>
          </w:p>
          <w:p w14:paraId="06364015" w14:textId="77777777" w:rsidR="00D71366" w:rsidRPr="00D15476" w:rsidRDefault="00D71366" w:rsidP="00D71366">
            <w:pPr>
              <w:spacing w:line="240" w:lineRule="auto"/>
              <w:ind w:hanging="128"/>
              <w:jc w:val="both"/>
              <w:rPr>
                <w:rFonts w:ascii="Lato" w:hAnsi="Lato" w:cs="Arial"/>
                <w:b/>
                <w:color w:val="000000" w:themeColor="text1"/>
                <w:sz w:val="20"/>
                <w:szCs w:val="20"/>
                <w:lang w:val="en-GB"/>
              </w:rPr>
            </w:pPr>
          </w:p>
        </w:tc>
      </w:tr>
      <w:tr w:rsidR="00D71366" w:rsidRPr="00D15476" w14:paraId="37DC4038" w14:textId="77777777" w:rsidTr="00D71366">
        <w:trPr>
          <w:trHeight w:hRule="exact" w:val="6171"/>
        </w:trPr>
        <w:tc>
          <w:tcPr>
            <w:tcW w:w="324" w:type="dxa"/>
            <w:tcBorders>
              <w:top w:val="single" w:sz="4" w:space="0" w:color="auto"/>
              <w:bottom w:val="single" w:sz="4" w:space="0" w:color="auto"/>
            </w:tcBorders>
            <w:shd w:val="clear" w:color="auto" w:fill="F2F2F2"/>
          </w:tcPr>
          <w:p w14:paraId="4BE698EF" w14:textId="3529E97F" w:rsidR="00D71366" w:rsidRPr="00D15476" w:rsidRDefault="00D71366" w:rsidP="00D71366">
            <w:pPr>
              <w:spacing w:line="240" w:lineRule="auto"/>
              <w:ind w:hanging="128"/>
              <w:rPr>
                <w:rFonts w:ascii="Lato" w:hAnsi="Lato" w:cs="Arial"/>
                <w:color w:val="000000" w:themeColor="text1"/>
                <w:sz w:val="20"/>
                <w:szCs w:val="20"/>
              </w:rPr>
            </w:pPr>
            <w:r>
              <w:rPr>
                <w:rFonts w:ascii="Lato" w:hAnsi="Lato" w:cs="Arial"/>
                <w:color w:val="000000" w:themeColor="text1"/>
                <w:sz w:val="20"/>
                <w:szCs w:val="20"/>
              </w:rPr>
              <w:t>11</w:t>
            </w:r>
          </w:p>
        </w:tc>
        <w:tc>
          <w:tcPr>
            <w:tcW w:w="2652" w:type="dxa"/>
            <w:tcBorders>
              <w:top w:val="single" w:sz="4" w:space="0" w:color="auto"/>
              <w:bottom w:val="single" w:sz="4" w:space="0" w:color="auto"/>
            </w:tcBorders>
            <w:shd w:val="clear" w:color="auto" w:fill="F2F2F2"/>
          </w:tcPr>
          <w:p w14:paraId="6885F4F2" w14:textId="77777777" w:rsidR="00D71366" w:rsidRPr="00D15476" w:rsidRDefault="00D71366" w:rsidP="00D71366">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Application Procedure</w:t>
            </w:r>
          </w:p>
        </w:tc>
        <w:tc>
          <w:tcPr>
            <w:tcW w:w="7481" w:type="dxa"/>
            <w:gridSpan w:val="2"/>
            <w:tcBorders>
              <w:top w:val="single" w:sz="4" w:space="0" w:color="auto"/>
              <w:bottom w:val="single" w:sz="4" w:space="0" w:color="auto"/>
            </w:tcBorders>
          </w:tcPr>
          <w:p w14:paraId="29FBF02E" w14:textId="08B88817" w:rsidR="00D71366" w:rsidRPr="003B77FD" w:rsidRDefault="00D71366" w:rsidP="00D71366">
            <w:pPr>
              <w:pStyle w:val="ListParagraph"/>
              <w:numPr>
                <w:ilvl w:val="0"/>
                <w:numId w:val="1"/>
              </w:numPr>
              <w:jc w:val="both"/>
              <w:rPr>
                <w:rFonts w:ascii="Arial" w:hAnsi="Arial" w:cs="Arial"/>
                <w:color w:val="000000" w:themeColor="text1"/>
                <w:sz w:val="22"/>
                <w:szCs w:val="22"/>
              </w:rPr>
            </w:pPr>
            <w:r w:rsidRPr="003B77FD">
              <w:rPr>
                <w:rFonts w:ascii="Arial" w:hAnsi="Arial" w:cs="Arial"/>
                <w:color w:val="000000" w:themeColor="text1"/>
                <w:sz w:val="22"/>
                <w:szCs w:val="22"/>
              </w:rPr>
              <w:t xml:space="preserve">Interested consultant (s) who meet the consultancy requirements are requested to submit their bid and each application package should include the above required minimum requirements. </w:t>
            </w:r>
          </w:p>
          <w:p w14:paraId="3B1F1580" w14:textId="77777777" w:rsidR="00D71366" w:rsidRPr="00B4615E" w:rsidRDefault="00D71366" w:rsidP="00D71366">
            <w:pPr>
              <w:pStyle w:val="ListParagraph"/>
              <w:ind w:left="360"/>
              <w:jc w:val="both"/>
              <w:rPr>
                <w:rFonts w:ascii="Lato" w:hAnsi="Lato" w:cs="Arial"/>
                <w:color w:val="000000" w:themeColor="text1"/>
                <w:sz w:val="20"/>
                <w:szCs w:val="20"/>
              </w:rPr>
            </w:pPr>
          </w:p>
          <w:p w14:paraId="47B9EE2D" w14:textId="77777777" w:rsidR="00D71366" w:rsidRPr="00BD7C54" w:rsidRDefault="00D71366" w:rsidP="00D71366">
            <w:pPr>
              <w:spacing w:after="0" w:line="240" w:lineRule="auto"/>
              <w:jc w:val="both"/>
              <w:rPr>
                <w:rFonts w:ascii="Arial" w:hAnsi="Arial" w:cs="Arial"/>
                <w:color w:val="000000" w:themeColor="text1"/>
                <w:sz w:val="24"/>
                <w:szCs w:val="24"/>
              </w:rPr>
            </w:pPr>
            <w:r w:rsidRPr="00BD7C54">
              <w:rPr>
                <w:rFonts w:ascii="Arial" w:hAnsi="Arial" w:cs="Arial"/>
                <w:color w:val="000000" w:themeColor="text1"/>
                <w:sz w:val="24"/>
                <w:szCs w:val="24"/>
              </w:rPr>
              <w:t>Applications can be submitted by:</w:t>
            </w:r>
          </w:p>
          <w:p w14:paraId="42F3032C" w14:textId="77777777" w:rsidR="00D71366" w:rsidRPr="00BD7C54" w:rsidRDefault="00D71366" w:rsidP="00D71366">
            <w:pPr>
              <w:spacing w:after="0" w:line="240" w:lineRule="auto"/>
              <w:jc w:val="both"/>
              <w:rPr>
                <w:rFonts w:ascii="Arial" w:hAnsi="Arial" w:cs="Arial"/>
                <w:b/>
                <w:color w:val="000000" w:themeColor="text1"/>
                <w:sz w:val="24"/>
                <w:szCs w:val="24"/>
              </w:rPr>
            </w:pPr>
            <w:r w:rsidRPr="00BD7C54">
              <w:rPr>
                <w:rFonts w:ascii="Arial" w:hAnsi="Arial" w:cs="Arial"/>
                <w:b/>
                <w:color w:val="000000" w:themeColor="text1"/>
                <w:sz w:val="24"/>
                <w:szCs w:val="24"/>
              </w:rPr>
              <w:t xml:space="preserve">Protected Email box </w:t>
            </w:r>
            <w:r>
              <w:rPr>
                <w:rFonts w:ascii="Arial" w:hAnsi="Arial" w:cs="Arial"/>
                <w:b/>
                <w:color w:val="000000" w:themeColor="text1"/>
                <w:sz w:val="24"/>
                <w:szCs w:val="24"/>
              </w:rPr>
              <w:t xml:space="preserve">below </w:t>
            </w:r>
          </w:p>
          <w:p w14:paraId="7FCD8C1E" w14:textId="5E277ABB" w:rsidR="00D71366" w:rsidRPr="002D4E23" w:rsidRDefault="00D71366" w:rsidP="00D71366">
            <w:pPr>
              <w:pStyle w:val="ListParagraph"/>
              <w:numPr>
                <w:ilvl w:val="0"/>
                <w:numId w:val="1"/>
              </w:numPr>
              <w:jc w:val="both"/>
              <w:rPr>
                <w:rStyle w:val="Hyperlink"/>
                <w:rFonts w:ascii="Arial" w:hAnsi="Arial" w:cs="Arial"/>
                <w:color w:val="000000" w:themeColor="text1"/>
              </w:rPr>
            </w:pPr>
            <w:r w:rsidRPr="00BD7C54">
              <w:rPr>
                <w:rFonts w:ascii="Arial" w:eastAsia="Times New Roman" w:hAnsi="Arial" w:cs="Arial"/>
                <w:color w:val="000000" w:themeColor="text1"/>
                <w:lang w:eastAsia="ar-SA"/>
              </w:rPr>
              <w:t>Email</w:t>
            </w:r>
            <w:r w:rsidRPr="00BD7C54">
              <w:rPr>
                <w:rFonts w:ascii="Arial" w:hAnsi="Arial" w:cs="Arial"/>
                <w:color w:val="000000" w:themeColor="text1"/>
              </w:rPr>
              <w:t xml:space="preserve"> should be addressed to </w:t>
            </w:r>
            <w:hyperlink r:id="rId11" w:history="1">
              <w:r w:rsidRPr="001A0639">
                <w:rPr>
                  <w:rStyle w:val="Hyperlink"/>
                  <w:rFonts w:ascii="Arial" w:hAnsi="Arial" w:cs="Arial"/>
                </w:rPr>
                <w:t>Somalia.Tenders@savethechildren.org</w:t>
              </w:r>
            </w:hyperlink>
            <w:r>
              <w:rPr>
                <w:rFonts w:ascii="Arial" w:hAnsi="Arial" w:cs="Arial"/>
                <w:color w:val="000000" w:themeColor="text1"/>
              </w:rPr>
              <w:t xml:space="preserve"> </w:t>
            </w:r>
          </w:p>
          <w:p w14:paraId="0B8552A3" w14:textId="77777777" w:rsidR="00D71366" w:rsidRPr="00BD7C54" w:rsidRDefault="00D71366" w:rsidP="00D71366">
            <w:pPr>
              <w:pStyle w:val="ListParagraph"/>
              <w:numPr>
                <w:ilvl w:val="0"/>
                <w:numId w:val="1"/>
              </w:numPr>
              <w:jc w:val="both"/>
              <w:rPr>
                <w:rFonts w:ascii="Arial" w:hAnsi="Arial" w:cs="Arial"/>
                <w:color w:val="000000" w:themeColor="text1"/>
              </w:rPr>
            </w:pPr>
            <w:r w:rsidRPr="002D4E23">
              <w:rPr>
                <w:rFonts w:ascii="Arial" w:hAnsi="Arial"/>
                <w:color w:val="000000" w:themeColor="text1"/>
              </w:rPr>
              <w:t>Should you need any clarifications please direct your queries to</w:t>
            </w:r>
            <w:r>
              <w:rPr>
                <w:rStyle w:val="Hyperlink"/>
                <w:rFonts w:ascii="Gill Sans MT" w:eastAsia="Times New Roman" w:hAnsi="Gill Sans MT" w:cs="Arial"/>
                <w:lang w:eastAsia="ar-SA"/>
              </w:rPr>
              <w:t xml:space="preserve"> </w:t>
            </w:r>
            <w:hyperlink r:id="rId12" w:history="1">
              <w:r w:rsidRPr="002D4E23">
                <w:rPr>
                  <w:rStyle w:val="Hyperlink"/>
                  <w:rFonts w:ascii="Gill Sans MT" w:eastAsia="Times New Roman" w:hAnsi="Gill Sans MT" w:cs="Arial"/>
                  <w:lang w:eastAsia="ar-SA"/>
                </w:rPr>
                <w:t>Somalia.procurement@savethechildren.org</w:t>
              </w:r>
            </w:hyperlink>
            <w:r>
              <w:rPr>
                <w:rFonts w:ascii="Gill Sans MT" w:eastAsia="Times New Roman" w:hAnsi="Gill Sans MT" w:cs="Arial"/>
                <w:color w:val="0563C1" w:themeColor="hyperlink"/>
                <w:u w:val="single"/>
                <w:lang w:eastAsia="ar-SA"/>
              </w:rPr>
              <w:t xml:space="preserve"> </w:t>
            </w:r>
            <w:r w:rsidRPr="002D4E23">
              <w:rPr>
                <w:rFonts w:ascii="Arial" w:hAnsi="Arial" w:cs="Arial"/>
                <w:color w:val="000000" w:themeColor="text1"/>
              </w:rPr>
              <w:t>and expect responses within</w:t>
            </w:r>
            <w:r>
              <w:rPr>
                <w:rFonts w:ascii="Arial" w:hAnsi="Arial" w:cs="Arial"/>
                <w:color w:val="000000" w:themeColor="text1"/>
              </w:rPr>
              <w:t xml:space="preserve"> maximum of</w:t>
            </w:r>
            <w:r w:rsidRPr="002D4E23">
              <w:rPr>
                <w:rFonts w:ascii="Arial" w:hAnsi="Arial" w:cs="Arial"/>
                <w:color w:val="000000" w:themeColor="text1"/>
              </w:rPr>
              <w:t xml:space="preserve"> two working days.</w:t>
            </w:r>
            <w:r>
              <w:rPr>
                <w:rFonts w:ascii="Gill Sans MT" w:eastAsia="Times New Roman" w:hAnsi="Gill Sans MT" w:cs="Arial"/>
                <w:color w:val="0563C1" w:themeColor="hyperlink"/>
                <w:u w:val="single"/>
                <w:lang w:eastAsia="ar-SA"/>
              </w:rPr>
              <w:t xml:space="preserve"> </w:t>
            </w:r>
          </w:p>
          <w:p w14:paraId="14BFF4E2" w14:textId="0267CF0D" w:rsidR="00D71366" w:rsidRPr="00BD7C54" w:rsidRDefault="00D71366" w:rsidP="00D71366">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 xml:space="preserve">Note – this is a sealed </w:t>
            </w:r>
            <w:r>
              <w:rPr>
                <w:rFonts w:ascii="Arial" w:eastAsia="Times New Roman" w:hAnsi="Arial" w:cs="Arial"/>
                <w:color w:val="000000" w:themeColor="text1"/>
                <w:lang w:eastAsia="ar-SA"/>
              </w:rPr>
              <w:t>bid</w:t>
            </w:r>
            <w:r w:rsidRPr="00BD7C54">
              <w:rPr>
                <w:rFonts w:ascii="Arial" w:eastAsia="Times New Roman" w:hAnsi="Arial" w:cs="Arial"/>
                <w:color w:val="000000" w:themeColor="text1"/>
                <w:lang w:eastAsia="ar-SA"/>
              </w:rPr>
              <w:t xml:space="preserve"> </w:t>
            </w:r>
            <w:r>
              <w:rPr>
                <w:rFonts w:ascii="Arial" w:eastAsia="Times New Roman" w:hAnsi="Arial" w:cs="Arial"/>
                <w:color w:val="000000" w:themeColor="text1"/>
                <w:lang w:eastAsia="ar-SA"/>
              </w:rPr>
              <w:t>email</w:t>
            </w:r>
            <w:r w:rsidRPr="00BD7C54">
              <w:rPr>
                <w:rFonts w:ascii="Arial" w:eastAsia="Times New Roman" w:hAnsi="Arial" w:cs="Arial"/>
                <w:color w:val="000000" w:themeColor="text1"/>
                <w:lang w:eastAsia="ar-SA"/>
              </w:rPr>
              <w:t xml:space="preserve"> which will not be opened until the tender has closed. Therefore, do not send tender related questions to this email address as they will not be answered.</w:t>
            </w:r>
          </w:p>
          <w:p w14:paraId="1C5F145E" w14:textId="7E69A3D4" w:rsidR="00D71366" w:rsidRPr="00E53A3B" w:rsidRDefault="00D71366" w:rsidP="00D71366">
            <w:pPr>
              <w:jc w:val="both"/>
              <w:rPr>
                <w:rFonts w:ascii="Arial" w:hAnsi="Arial" w:cs="Arial"/>
                <w:b/>
                <w:bCs/>
              </w:rPr>
            </w:pPr>
            <w:r w:rsidRPr="00E53A3B">
              <w:rPr>
                <w:rFonts w:ascii="Arial" w:eastAsia="Times New Roman" w:hAnsi="Arial" w:cs="Arial"/>
                <w:color w:val="000000" w:themeColor="text1"/>
                <w:lang w:eastAsia="ar-SA"/>
              </w:rPr>
              <w:t xml:space="preserve">The subject of the email should be </w:t>
            </w:r>
            <w:r w:rsidRPr="00E30A88">
              <w:rPr>
                <w:rFonts w:ascii="Arial" w:hAnsi="Arial" w:cs="Arial"/>
                <w:b/>
                <w:bCs/>
              </w:rPr>
              <w:t>TERMS OF REFERENCE FOR INTERSECTIONAL</w:t>
            </w:r>
            <w:r>
              <w:rPr>
                <w:rFonts w:ascii="Arial" w:hAnsi="Arial" w:cs="Arial"/>
                <w:b/>
                <w:bCs/>
              </w:rPr>
              <w:t xml:space="preserve"> </w:t>
            </w:r>
            <w:r w:rsidRPr="00E30A88">
              <w:rPr>
                <w:rFonts w:ascii="Arial" w:hAnsi="Arial" w:cs="Arial"/>
                <w:b/>
                <w:bCs/>
              </w:rPr>
              <w:t>EMPLOYMENT VULNERABILITY ASSESSMENT</w:t>
            </w:r>
          </w:p>
          <w:p w14:paraId="753FBFF9" w14:textId="77777777" w:rsidR="00D71366" w:rsidRPr="00E53A3B" w:rsidRDefault="00D71366" w:rsidP="00D71366">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All attached documents should be clearly labelled so it is clear to understand what each file relates to.</w:t>
            </w:r>
          </w:p>
          <w:p w14:paraId="29B4B4A3" w14:textId="77777777" w:rsidR="00D71366" w:rsidRPr="00E53A3B" w:rsidRDefault="00D71366" w:rsidP="00D71366">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Emails should not exceed 15mb – if the file sizes are large, please split the submission into two emails.  </w:t>
            </w:r>
          </w:p>
          <w:p w14:paraId="14828A63" w14:textId="77777777" w:rsidR="00D71366" w:rsidRPr="00E53A3B" w:rsidRDefault="00D71366" w:rsidP="00D71366">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Do not copy other SCI email addresses into the email when you submit it as this will invalidate your bid. </w:t>
            </w:r>
          </w:p>
          <w:p w14:paraId="6F03C224" w14:textId="77777777" w:rsidR="00D71366" w:rsidRPr="00BD7C54" w:rsidRDefault="00D71366" w:rsidP="00D71366">
            <w:pPr>
              <w:spacing w:after="0" w:line="240" w:lineRule="auto"/>
              <w:ind w:left="720"/>
              <w:jc w:val="both"/>
              <w:rPr>
                <w:rFonts w:ascii="Arial" w:eastAsia="Times New Roman" w:hAnsi="Arial" w:cs="Arial"/>
                <w:color w:val="000000" w:themeColor="text1"/>
                <w:sz w:val="24"/>
                <w:szCs w:val="24"/>
                <w:lang w:eastAsia="ar-SA"/>
              </w:rPr>
            </w:pPr>
          </w:p>
          <w:p w14:paraId="561A3D99" w14:textId="7E3BD889" w:rsidR="00D71366" w:rsidRPr="00B4615E" w:rsidRDefault="00D71366" w:rsidP="00D71366">
            <w:pPr>
              <w:jc w:val="both"/>
              <w:rPr>
                <w:rFonts w:ascii="Lato" w:hAnsi="Lato" w:cs="Arial"/>
                <w:color w:val="000000" w:themeColor="text1"/>
                <w:sz w:val="20"/>
                <w:szCs w:val="20"/>
              </w:rPr>
            </w:pPr>
            <w:r w:rsidRPr="005427AE">
              <w:rPr>
                <w:rFonts w:ascii="Arial" w:eastAsia="Times New Roman" w:hAnsi="Arial" w:cs="Arial"/>
                <w:color w:val="000000" w:themeColor="text1"/>
                <w:szCs w:val="21"/>
                <w:lang w:eastAsia="ar-SA"/>
              </w:rPr>
              <w:t>All applications MUST be submitted on or before the closing date below to be considered for the assignment.</w:t>
            </w:r>
            <w:r>
              <w:rPr>
                <w:rFonts w:ascii="Arial" w:eastAsia="Times New Roman" w:hAnsi="Arial" w:cs="Arial"/>
                <w:color w:val="000000" w:themeColor="text1"/>
                <w:szCs w:val="21"/>
                <w:lang w:eastAsia="ar-SA"/>
              </w:rPr>
              <w:t xml:space="preserve"> </w:t>
            </w:r>
            <w:r w:rsidRPr="00BD7C54">
              <w:rPr>
                <w:rFonts w:ascii="Arial" w:eastAsia="Times New Roman" w:hAnsi="Arial" w:cs="Arial"/>
                <w:b/>
                <w:color w:val="000000" w:themeColor="text1"/>
                <w:sz w:val="24"/>
                <w:szCs w:val="24"/>
                <w:lang w:eastAsia="ar-SA"/>
              </w:rPr>
              <w:t>Only shortlisted Candidates will be contacted.</w:t>
            </w:r>
          </w:p>
          <w:p w14:paraId="5EECA755" w14:textId="3B223398" w:rsidR="00D71366" w:rsidRPr="000A574E" w:rsidRDefault="00D71366" w:rsidP="00D71366">
            <w:pPr>
              <w:spacing w:line="240" w:lineRule="auto"/>
              <w:jc w:val="both"/>
              <w:rPr>
                <w:rFonts w:ascii="Lato" w:eastAsia="Times New Roman" w:hAnsi="Lato" w:cs="Arial"/>
                <w:color w:val="000000" w:themeColor="text1"/>
                <w:sz w:val="20"/>
                <w:szCs w:val="20"/>
                <w:lang w:val="en-GB" w:eastAsia="ar-SA"/>
              </w:rPr>
            </w:pPr>
          </w:p>
        </w:tc>
      </w:tr>
      <w:tr w:rsidR="00D71366" w:rsidRPr="00D15476" w14:paraId="28062A8A" w14:textId="77777777" w:rsidTr="00D71366">
        <w:trPr>
          <w:trHeight w:hRule="exact" w:val="654"/>
        </w:trPr>
        <w:tc>
          <w:tcPr>
            <w:tcW w:w="324" w:type="dxa"/>
            <w:tcBorders>
              <w:top w:val="single" w:sz="4" w:space="0" w:color="auto"/>
              <w:bottom w:val="single" w:sz="4" w:space="0" w:color="auto"/>
            </w:tcBorders>
            <w:shd w:val="clear" w:color="auto" w:fill="F2F2F2"/>
          </w:tcPr>
          <w:p w14:paraId="1798841B" w14:textId="344876F4" w:rsidR="00D71366" w:rsidRPr="00D15476" w:rsidRDefault="00D71366" w:rsidP="00D71366">
            <w:pPr>
              <w:spacing w:line="240" w:lineRule="auto"/>
              <w:ind w:hanging="128"/>
              <w:rPr>
                <w:rFonts w:ascii="Lato" w:hAnsi="Lato" w:cs="Arial"/>
                <w:color w:val="000000" w:themeColor="text1"/>
                <w:sz w:val="20"/>
                <w:szCs w:val="20"/>
              </w:rPr>
            </w:pPr>
            <w:r w:rsidRPr="00D15476">
              <w:rPr>
                <w:rFonts w:ascii="Lato" w:hAnsi="Lato" w:cs="Arial"/>
                <w:color w:val="000000" w:themeColor="text1"/>
                <w:sz w:val="20"/>
                <w:szCs w:val="20"/>
              </w:rPr>
              <w:lastRenderedPageBreak/>
              <w:t>1</w:t>
            </w:r>
            <w:r>
              <w:rPr>
                <w:rFonts w:ascii="Lato" w:hAnsi="Lato" w:cs="Arial"/>
                <w:color w:val="000000" w:themeColor="text1"/>
                <w:sz w:val="20"/>
                <w:szCs w:val="20"/>
              </w:rPr>
              <w:t>2</w:t>
            </w:r>
          </w:p>
        </w:tc>
        <w:tc>
          <w:tcPr>
            <w:tcW w:w="2652" w:type="dxa"/>
            <w:tcBorders>
              <w:top w:val="single" w:sz="4" w:space="0" w:color="auto"/>
              <w:bottom w:val="single" w:sz="4" w:space="0" w:color="auto"/>
            </w:tcBorders>
            <w:shd w:val="clear" w:color="auto" w:fill="F2F2F2"/>
          </w:tcPr>
          <w:p w14:paraId="5110B887" w14:textId="77777777" w:rsidR="00D71366" w:rsidRPr="00D15476" w:rsidRDefault="00D71366" w:rsidP="00D71366">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Closing date for Applications</w:t>
            </w:r>
          </w:p>
        </w:tc>
        <w:tc>
          <w:tcPr>
            <w:tcW w:w="7481" w:type="dxa"/>
            <w:gridSpan w:val="2"/>
            <w:tcBorders>
              <w:top w:val="single" w:sz="4" w:space="0" w:color="auto"/>
              <w:bottom w:val="single" w:sz="4" w:space="0" w:color="auto"/>
            </w:tcBorders>
          </w:tcPr>
          <w:p w14:paraId="2884D2F5" w14:textId="7D063FD0" w:rsidR="00D71366" w:rsidRDefault="00D71366" w:rsidP="00D71366">
            <w:pPr>
              <w:spacing w:after="0" w:line="240" w:lineRule="auto"/>
              <w:jc w:val="both"/>
              <w:rPr>
                <w:rFonts w:ascii="Lato" w:hAnsi="Lato" w:cs="Arial"/>
                <w:b/>
                <w:color w:val="000000" w:themeColor="text1"/>
                <w:sz w:val="24"/>
                <w:szCs w:val="24"/>
              </w:rPr>
            </w:pPr>
            <w:r w:rsidRPr="00BD7C54">
              <w:rPr>
                <w:rFonts w:ascii="Arial" w:hAnsi="Arial" w:cs="Arial"/>
                <w:bCs/>
                <w:color w:val="000000" w:themeColor="text1"/>
                <w:sz w:val="24"/>
                <w:szCs w:val="24"/>
              </w:rPr>
              <w:t xml:space="preserve">Interested consultants shall submit their applications through the above procedures </w:t>
            </w:r>
            <w:r w:rsidRPr="00067810">
              <w:rPr>
                <w:rFonts w:ascii="Arial" w:hAnsi="Arial" w:cs="Arial"/>
                <w:b/>
                <w:bCs/>
                <w:color w:val="000000" w:themeColor="text1"/>
                <w:sz w:val="24"/>
                <w:szCs w:val="24"/>
              </w:rPr>
              <w:t xml:space="preserve">or before </w:t>
            </w:r>
            <w:r>
              <w:rPr>
                <w:rFonts w:ascii="Arial" w:hAnsi="Arial" w:cs="Arial"/>
                <w:b/>
                <w:bCs/>
                <w:color w:val="000000" w:themeColor="text1"/>
                <w:sz w:val="24"/>
                <w:szCs w:val="24"/>
              </w:rPr>
              <w:t>14</w:t>
            </w:r>
            <w:r w:rsidRPr="00967E4C">
              <w:rPr>
                <w:rFonts w:ascii="Arial" w:hAnsi="Arial" w:cs="Arial"/>
                <w:b/>
                <w:bCs/>
                <w:color w:val="000000" w:themeColor="text1"/>
                <w:sz w:val="24"/>
                <w:szCs w:val="24"/>
                <w:vertAlign w:val="superscript"/>
              </w:rPr>
              <w:t>th</w:t>
            </w:r>
            <w:r>
              <w:rPr>
                <w:rFonts w:ascii="Arial" w:hAnsi="Arial" w:cs="Arial"/>
                <w:b/>
                <w:bCs/>
                <w:color w:val="000000" w:themeColor="text1"/>
                <w:sz w:val="24"/>
                <w:szCs w:val="24"/>
              </w:rPr>
              <w:t xml:space="preserve"> August </w:t>
            </w:r>
            <w:r w:rsidRPr="00067810">
              <w:rPr>
                <w:rFonts w:ascii="Arial" w:hAnsi="Arial" w:cs="Arial"/>
                <w:b/>
                <w:bCs/>
                <w:color w:val="000000" w:themeColor="text1"/>
                <w:sz w:val="24"/>
                <w:szCs w:val="24"/>
              </w:rPr>
              <w:t>202</w:t>
            </w:r>
            <w:r>
              <w:rPr>
                <w:rFonts w:ascii="Arial" w:hAnsi="Arial" w:cs="Arial"/>
                <w:b/>
                <w:bCs/>
                <w:color w:val="000000" w:themeColor="text1"/>
                <w:sz w:val="24"/>
                <w:szCs w:val="24"/>
              </w:rPr>
              <w:t>6, EAT at 11:59 PM.</w:t>
            </w:r>
          </w:p>
          <w:p w14:paraId="09840024" w14:textId="601B918C" w:rsidR="00D71366" w:rsidRPr="00D15476" w:rsidRDefault="00D71366" w:rsidP="00D71366">
            <w:pPr>
              <w:spacing w:after="0" w:line="240" w:lineRule="auto"/>
              <w:jc w:val="both"/>
              <w:rPr>
                <w:rFonts w:ascii="Lato" w:hAnsi="Lato" w:cs="Arial"/>
                <w:b/>
                <w:color w:val="000000" w:themeColor="text1"/>
                <w:sz w:val="20"/>
                <w:szCs w:val="20"/>
              </w:rPr>
            </w:pPr>
          </w:p>
        </w:tc>
      </w:tr>
    </w:tbl>
    <w:p w14:paraId="3303CE15" w14:textId="7E78A759" w:rsidR="00AD266A" w:rsidRPr="00D15476" w:rsidRDefault="00B11F12" w:rsidP="00AD266A">
      <w:pPr>
        <w:pStyle w:val="BodyText"/>
        <w:rPr>
          <w:rFonts w:ascii="Lato" w:hAnsi="Lato" w:cs="Arial"/>
          <w:b/>
          <w:sz w:val="20"/>
          <w:szCs w:val="20"/>
        </w:rPr>
      </w:pPr>
      <w:r w:rsidRPr="00D15476">
        <w:rPr>
          <w:rFonts w:ascii="Lato" w:hAnsi="Lato" w:cs="Arial"/>
          <w:b/>
          <w:sz w:val="20"/>
          <w:szCs w:val="20"/>
        </w:rPr>
        <w:br w:type="textWrapping" w:clear="all"/>
      </w:r>
    </w:p>
    <w:tbl>
      <w:tblPr>
        <w:tblStyle w:val="TableGrid"/>
        <w:tblW w:w="10170" w:type="dxa"/>
        <w:tblInd w:w="-5" w:type="dxa"/>
        <w:tblLook w:val="04A0" w:firstRow="1" w:lastRow="0" w:firstColumn="1" w:lastColumn="0" w:noHBand="0" w:noVBand="1"/>
      </w:tblPr>
      <w:tblGrid>
        <w:gridCol w:w="5825"/>
        <w:gridCol w:w="2680"/>
        <w:gridCol w:w="1665"/>
      </w:tblGrid>
      <w:tr w:rsidR="00AD266A" w:rsidRPr="00D15476" w14:paraId="5CA7C79D" w14:textId="77777777" w:rsidTr="00775278">
        <w:trPr>
          <w:trHeight w:val="373"/>
        </w:trPr>
        <w:tc>
          <w:tcPr>
            <w:tcW w:w="10170"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AC3246">
        <w:trPr>
          <w:trHeight w:val="200"/>
        </w:trPr>
        <w:tc>
          <w:tcPr>
            <w:tcW w:w="5825"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680"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1665"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AC3246">
        <w:trPr>
          <w:trHeight w:val="744"/>
        </w:trPr>
        <w:tc>
          <w:tcPr>
            <w:tcW w:w="5825" w:type="dxa"/>
            <w:vAlign w:val="center"/>
          </w:tcPr>
          <w:p w14:paraId="494E2290"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Terms &amp; Conditions of Bidding</w:t>
            </w:r>
          </w:p>
        </w:tc>
        <w:tc>
          <w:tcPr>
            <w:tcW w:w="2680" w:type="dxa"/>
            <w:vAlign w:val="center"/>
          </w:tcPr>
          <w:p w14:paraId="5590BD5C" w14:textId="4E8A0E95" w:rsidR="003A64B1" w:rsidRPr="00D15476" w:rsidRDefault="00A017F3"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43.5pt" o:ole="">
                  <v:imagedata r:id="rId13" o:title=""/>
                </v:shape>
                <o:OLEObject Type="Embed" ProgID="AcroExch.Document.7" ShapeID="_x0000_i1025" DrawAspect="Icon" ObjectID="_1849696561" r:id="rId14"/>
              </w:object>
            </w:r>
          </w:p>
        </w:tc>
        <w:tc>
          <w:tcPr>
            <w:tcW w:w="1665"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AC3246">
        <w:trPr>
          <w:trHeight w:val="429"/>
        </w:trPr>
        <w:tc>
          <w:tcPr>
            <w:tcW w:w="5825" w:type="dxa"/>
            <w:vAlign w:val="center"/>
          </w:tcPr>
          <w:p w14:paraId="0F977F2B"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Supplier Sustainability Policy</w:t>
            </w:r>
          </w:p>
          <w:p w14:paraId="41F64267"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and the included mandatory policies</w:t>
            </w:r>
          </w:p>
        </w:tc>
        <w:tc>
          <w:tcPr>
            <w:tcW w:w="2680" w:type="dxa"/>
            <w:vAlign w:val="center"/>
          </w:tcPr>
          <w:p w14:paraId="1F5E4296" w14:textId="7392F45B" w:rsidR="003A64B1" w:rsidRPr="00D15476" w:rsidRDefault="003A64B1" w:rsidP="00405004">
            <w:pPr>
              <w:spacing w:after="0" w:line="240" w:lineRule="auto"/>
              <w:rPr>
                <w:rFonts w:ascii="Lato" w:hAnsi="Lato" w:cs="Arial"/>
                <w:sz w:val="20"/>
                <w:szCs w:val="20"/>
                <w:highlight w:val="yellow"/>
              </w:rPr>
            </w:pPr>
            <w:hyperlink r:id="rId15" w:history="1">
              <w:r w:rsidRPr="00C068F3">
                <w:rPr>
                  <w:rStyle w:val="Hyperlink"/>
                  <w:rFonts w:ascii="Lato" w:hAnsi="Lato" w:cs="Arial"/>
                  <w:sz w:val="20"/>
                  <w:szCs w:val="20"/>
                </w:rPr>
                <w:t>Click Here to Access</w:t>
              </w:r>
            </w:hyperlink>
          </w:p>
        </w:tc>
        <w:tc>
          <w:tcPr>
            <w:tcW w:w="1665"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5717BE">
        <w:trPr>
          <w:trHeight w:val="592"/>
        </w:trPr>
        <w:tc>
          <w:tcPr>
            <w:tcW w:w="10778" w:type="dxa"/>
            <w:gridSpan w:val="2"/>
          </w:tcPr>
          <w:p w14:paraId="26F13343" w14:textId="77777777" w:rsidR="00AD266A" w:rsidRPr="00D15476" w:rsidRDefault="00AD266A" w:rsidP="005717BE">
            <w:pPr>
              <w:pStyle w:val="paragraph"/>
              <w:spacing w:before="0" w:beforeAutospacing="0" w:after="0" w:afterAutospacing="0"/>
              <w:jc w:val="both"/>
              <w:textAlignment w:val="baseline"/>
              <w:rPr>
                <w:rStyle w:val="eop"/>
                <w:rFonts w:ascii="Lato" w:hAnsi="Lato" w:cs="Arial"/>
                <w:sz w:val="20"/>
                <w:szCs w:val="20"/>
              </w:rPr>
            </w:pPr>
            <w:r w:rsidRPr="00D15476">
              <w:rPr>
                <w:rStyle w:val="normaltextrun"/>
                <w:rFonts w:ascii="Lato" w:hAnsi="Lato" w:cs="Arial"/>
                <w:sz w:val="20"/>
                <w:szCs w:val="20"/>
              </w:rPr>
              <w:t>We confirm that Save the Children may in its consideration of our offer, and subsequently, rely on the statements made herein.</w:t>
            </w:r>
            <w:r w:rsidRPr="00D15476">
              <w:rPr>
                <w:rStyle w:val="eop"/>
                <w:rFonts w:ascii="Lato" w:hAnsi="Lato" w:cs="Arial"/>
                <w:sz w:val="20"/>
                <w:szCs w:val="20"/>
              </w:rPr>
              <w:t> </w:t>
            </w:r>
          </w:p>
          <w:p w14:paraId="0E4856F4" w14:textId="77777777" w:rsidR="00AD266A" w:rsidRPr="00D15476" w:rsidRDefault="00AD266A" w:rsidP="005717BE">
            <w:pPr>
              <w:pStyle w:val="paragraph"/>
              <w:spacing w:before="0" w:beforeAutospacing="0" w:after="0" w:afterAutospacing="0"/>
              <w:jc w:val="both"/>
              <w:textAlignment w:val="baseline"/>
              <w:rPr>
                <w:rStyle w:val="scxw63843710"/>
                <w:rFonts w:ascii="Lato" w:hAnsi="Lato" w:cs="Arial"/>
                <w:sz w:val="20"/>
                <w:szCs w:val="20"/>
              </w:rPr>
            </w:pPr>
          </w:p>
        </w:tc>
      </w:tr>
      <w:tr w:rsidR="00AD266A" w:rsidRPr="00D15476" w14:paraId="75F242BF" w14:textId="77777777" w:rsidTr="005717BE">
        <w:trPr>
          <w:trHeight w:val="494"/>
        </w:trPr>
        <w:tc>
          <w:tcPr>
            <w:tcW w:w="2057" w:type="dxa"/>
          </w:tcPr>
          <w:p w14:paraId="149937AA"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Title:</w:t>
            </w:r>
          </w:p>
        </w:tc>
        <w:tc>
          <w:tcPr>
            <w:tcW w:w="8721" w:type="dxa"/>
          </w:tcPr>
          <w:p w14:paraId="366327D5"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3E5AE67A" w14:textId="77777777" w:rsidR="00C47440" w:rsidRDefault="00C47440" w:rsidP="002E4BFC">
      <w:pPr>
        <w:rPr>
          <w:rFonts w:ascii="Lato" w:hAnsi="Lato"/>
          <w:b/>
          <w:bCs/>
          <w:sz w:val="20"/>
          <w:szCs w:val="20"/>
          <w:u w:val="single"/>
        </w:rPr>
      </w:pPr>
    </w:p>
    <w:p w14:paraId="41B18E83" w14:textId="77777777" w:rsidR="00C47440" w:rsidRDefault="00C47440" w:rsidP="00EF3584">
      <w:pPr>
        <w:jc w:val="center"/>
        <w:rPr>
          <w:rFonts w:ascii="Lato" w:hAnsi="Lato"/>
          <w:b/>
          <w:bCs/>
          <w:sz w:val="20"/>
          <w:szCs w:val="20"/>
          <w:u w:val="single"/>
        </w:rPr>
      </w:pPr>
    </w:p>
    <w:p w14:paraId="1D1B4EA5" w14:textId="77777777" w:rsidR="00C67662" w:rsidRDefault="00C67662" w:rsidP="00C67662">
      <w:pPr>
        <w:autoSpaceDE w:val="0"/>
        <w:autoSpaceDN w:val="0"/>
        <w:adjustRightInd w:val="0"/>
        <w:spacing w:after="0"/>
        <w:jc w:val="both"/>
        <w:rPr>
          <w:rFonts w:ascii="Times New Roman" w:hAnsi="Times New Roman"/>
          <w:b/>
          <w:bCs/>
        </w:rPr>
      </w:pPr>
    </w:p>
    <w:p w14:paraId="068E51F7" w14:textId="77777777" w:rsidR="0000658E" w:rsidRDefault="0000658E" w:rsidP="00C67662">
      <w:pPr>
        <w:autoSpaceDE w:val="0"/>
        <w:autoSpaceDN w:val="0"/>
        <w:adjustRightInd w:val="0"/>
        <w:spacing w:after="0"/>
        <w:jc w:val="both"/>
        <w:rPr>
          <w:rFonts w:ascii="Times New Roman" w:hAnsi="Times New Roman"/>
          <w:b/>
          <w:bCs/>
        </w:rPr>
      </w:pPr>
    </w:p>
    <w:p w14:paraId="05C460D1" w14:textId="77777777" w:rsidR="0000658E" w:rsidRDefault="0000658E" w:rsidP="00C67662">
      <w:pPr>
        <w:autoSpaceDE w:val="0"/>
        <w:autoSpaceDN w:val="0"/>
        <w:adjustRightInd w:val="0"/>
        <w:spacing w:after="0"/>
        <w:jc w:val="both"/>
        <w:rPr>
          <w:rFonts w:ascii="Times New Roman" w:hAnsi="Times New Roman"/>
          <w:b/>
          <w:bCs/>
        </w:rPr>
      </w:pPr>
    </w:p>
    <w:p w14:paraId="22B6EB4F" w14:textId="77777777" w:rsidR="0000658E" w:rsidRDefault="0000658E" w:rsidP="00C67662">
      <w:pPr>
        <w:autoSpaceDE w:val="0"/>
        <w:autoSpaceDN w:val="0"/>
        <w:adjustRightInd w:val="0"/>
        <w:spacing w:after="0"/>
        <w:jc w:val="both"/>
        <w:rPr>
          <w:rFonts w:ascii="Times New Roman" w:hAnsi="Times New Roman"/>
          <w:b/>
          <w:bCs/>
        </w:rPr>
      </w:pPr>
    </w:p>
    <w:p w14:paraId="3EF81713" w14:textId="77777777" w:rsidR="0000658E" w:rsidRDefault="0000658E" w:rsidP="00C67662">
      <w:pPr>
        <w:autoSpaceDE w:val="0"/>
        <w:autoSpaceDN w:val="0"/>
        <w:adjustRightInd w:val="0"/>
        <w:spacing w:after="0"/>
        <w:jc w:val="both"/>
        <w:rPr>
          <w:rFonts w:ascii="Times New Roman" w:hAnsi="Times New Roman"/>
          <w:b/>
          <w:bCs/>
        </w:rPr>
      </w:pPr>
    </w:p>
    <w:p w14:paraId="045F029C" w14:textId="77777777" w:rsidR="0000658E" w:rsidRDefault="0000658E" w:rsidP="00C67662">
      <w:pPr>
        <w:autoSpaceDE w:val="0"/>
        <w:autoSpaceDN w:val="0"/>
        <w:adjustRightInd w:val="0"/>
        <w:spacing w:after="0"/>
        <w:jc w:val="both"/>
        <w:rPr>
          <w:rFonts w:ascii="Times New Roman" w:hAnsi="Times New Roman"/>
          <w:b/>
          <w:bCs/>
        </w:rPr>
      </w:pPr>
    </w:p>
    <w:p w14:paraId="61470FD9" w14:textId="77777777" w:rsidR="0000658E" w:rsidRDefault="0000658E" w:rsidP="00C67662">
      <w:pPr>
        <w:autoSpaceDE w:val="0"/>
        <w:autoSpaceDN w:val="0"/>
        <w:adjustRightInd w:val="0"/>
        <w:spacing w:after="0"/>
        <w:jc w:val="both"/>
        <w:rPr>
          <w:rFonts w:ascii="Times New Roman" w:hAnsi="Times New Roman"/>
          <w:b/>
          <w:bCs/>
        </w:rPr>
      </w:pPr>
    </w:p>
    <w:p w14:paraId="41BDBF44" w14:textId="77777777" w:rsidR="0000658E" w:rsidRDefault="0000658E" w:rsidP="00C67662">
      <w:pPr>
        <w:autoSpaceDE w:val="0"/>
        <w:autoSpaceDN w:val="0"/>
        <w:adjustRightInd w:val="0"/>
        <w:spacing w:after="0"/>
        <w:jc w:val="both"/>
        <w:rPr>
          <w:rFonts w:ascii="Times New Roman" w:hAnsi="Times New Roman"/>
          <w:b/>
          <w:bCs/>
        </w:rPr>
      </w:pPr>
    </w:p>
    <w:p w14:paraId="10315F3E" w14:textId="77777777" w:rsidR="0000658E" w:rsidRDefault="0000658E" w:rsidP="00C67662">
      <w:pPr>
        <w:autoSpaceDE w:val="0"/>
        <w:autoSpaceDN w:val="0"/>
        <w:adjustRightInd w:val="0"/>
        <w:spacing w:after="0"/>
        <w:jc w:val="both"/>
        <w:rPr>
          <w:rFonts w:ascii="Times New Roman" w:hAnsi="Times New Roman"/>
          <w:b/>
          <w:bCs/>
        </w:rPr>
      </w:pPr>
    </w:p>
    <w:p w14:paraId="44424507" w14:textId="77777777" w:rsidR="0000658E" w:rsidRDefault="0000658E" w:rsidP="00C67662">
      <w:pPr>
        <w:autoSpaceDE w:val="0"/>
        <w:autoSpaceDN w:val="0"/>
        <w:adjustRightInd w:val="0"/>
        <w:spacing w:after="0"/>
        <w:jc w:val="both"/>
        <w:rPr>
          <w:rFonts w:ascii="Times New Roman" w:hAnsi="Times New Roman"/>
          <w:b/>
          <w:bCs/>
        </w:rPr>
      </w:pPr>
    </w:p>
    <w:p w14:paraId="018FA1E5" w14:textId="77777777" w:rsidR="0000658E" w:rsidRDefault="0000658E" w:rsidP="00C67662">
      <w:pPr>
        <w:autoSpaceDE w:val="0"/>
        <w:autoSpaceDN w:val="0"/>
        <w:adjustRightInd w:val="0"/>
        <w:spacing w:after="0"/>
        <w:jc w:val="both"/>
        <w:rPr>
          <w:rFonts w:ascii="Times New Roman" w:hAnsi="Times New Roman"/>
          <w:b/>
          <w:bCs/>
        </w:rPr>
      </w:pPr>
    </w:p>
    <w:p w14:paraId="58E289E1" w14:textId="77777777" w:rsidR="0000658E" w:rsidRDefault="0000658E" w:rsidP="00C67662">
      <w:pPr>
        <w:autoSpaceDE w:val="0"/>
        <w:autoSpaceDN w:val="0"/>
        <w:adjustRightInd w:val="0"/>
        <w:spacing w:after="0"/>
        <w:jc w:val="both"/>
        <w:rPr>
          <w:rFonts w:ascii="Times New Roman" w:hAnsi="Times New Roman"/>
          <w:b/>
          <w:bCs/>
        </w:rPr>
      </w:pPr>
    </w:p>
    <w:p w14:paraId="25C6EFBB" w14:textId="77777777" w:rsidR="0000658E" w:rsidRDefault="0000658E" w:rsidP="00C67662">
      <w:pPr>
        <w:autoSpaceDE w:val="0"/>
        <w:autoSpaceDN w:val="0"/>
        <w:adjustRightInd w:val="0"/>
        <w:spacing w:after="0"/>
        <w:jc w:val="both"/>
        <w:rPr>
          <w:rFonts w:ascii="Times New Roman" w:hAnsi="Times New Roman"/>
          <w:b/>
          <w:bCs/>
        </w:rPr>
      </w:pPr>
    </w:p>
    <w:p w14:paraId="6077C1FB" w14:textId="77777777" w:rsidR="0000658E" w:rsidRDefault="0000658E" w:rsidP="00C67662">
      <w:pPr>
        <w:autoSpaceDE w:val="0"/>
        <w:autoSpaceDN w:val="0"/>
        <w:adjustRightInd w:val="0"/>
        <w:spacing w:after="0"/>
        <w:jc w:val="both"/>
        <w:rPr>
          <w:rFonts w:ascii="Times New Roman" w:hAnsi="Times New Roman"/>
          <w:b/>
          <w:bCs/>
        </w:rPr>
      </w:pPr>
    </w:p>
    <w:p w14:paraId="25C0801B" w14:textId="77777777" w:rsidR="0000658E" w:rsidRDefault="0000658E" w:rsidP="00C67662">
      <w:pPr>
        <w:autoSpaceDE w:val="0"/>
        <w:autoSpaceDN w:val="0"/>
        <w:adjustRightInd w:val="0"/>
        <w:spacing w:after="0"/>
        <w:jc w:val="both"/>
        <w:rPr>
          <w:rFonts w:ascii="Times New Roman" w:hAnsi="Times New Roman"/>
          <w:b/>
          <w:bCs/>
        </w:rPr>
      </w:pPr>
    </w:p>
    <w:p w14:paraId="313C8D66" w14:textId="77777777" w:rsidR="0000658E" w:rsidRDefault="0000658E" w:rsidP="00C67662">
      <w:pPr>
        <w:autoSpaceDE w:val="0"/>
        <w:autoSpaceDN w:val="0"/>
        <w:adjustRightInd w:val="0"/>
        <w:spacing w:after="0"/>
        <w:jc w:val="both"/>
        <w:rPr>
          <w:rFonts w:ascii="Times New Roman" w:hAnsi="Times New Roman"/>
          <w:b/>
          <w:bCs/>
        </w:rPr>
      </w:pPr>
    </w:p>
    <w:p w14:paraId="2C9F2556" w14:textId="77777777" w:rsidR="0000658E" w:rsidRDefault="0000658E" w:rsidP="00C67662">
      <w:pPr>
        <w:autoSpaceDE w:val="0"/>
        <w:autoSpaceDN w:val="0"/>
        <w:adjustRightInd w:val="0"/>
        <w:spacing w:after="0"/>
        <w:jc w:val="both"/>
        <w:rPr>
          <w:rFonts w:ascii="Times New Roman" w:hAnsi="Times New Roman"/>
          <w:b/>
          <w:bCs/>
        </w:rPr>
      </w:pPr>
    </w:p>
    <w:p w14:paraId="66413E5F" w14:textId="77777777" w:rsidR="0000658E" w:rsidRDefault="0000658E" w:rsidP="00C67662">
      <w:pPr>
        <w:autoSpaceDE w:val="0"/>
        <w:autoSpaceDN w:val="0"/>
        <w:adjustRightInd w:val="0"/>
        <w:spacing w:after="0"/>
        <w:jc w:val="both"/>
        <w:rPr>
          <w:rFonts w:ascii="Times New Roman" w:hAnsi="Times New Roman"/>
          <w:b/>
          <w:bCs/>
        </w:rPr>
      </w:pPr>
    </w:p>
    <w:p w14:paraId="3031EEFD" w14:textId="77777777" w:rsidR="0000658E" w:rsidRDefault="0000658E" w:rsidP="00C67662">
      <w:pPr>
        <w:autoSpaceDE w:val="0"/>
        <w:autoSpaceDN w:val="0"/>
        <w:adjustRightInd w:val="0"/>
        <w:spacing w:after="0"/>
        <w:jc w:val="both"/>
        <w:rPr>
          <w:rFonts w:ascii="Times New Roman" w:hAnsi="Times New Roman"/>
          <w:b/>
          <w:bCs/>
        </w:rPr>
      </w:pPr>
    </w:p>
    <w:p w14:paraId="48CFEAF1" w14:textId="77777777" w:rsidR="0000658E" w:rsidRDefault="0000658E" w:rsidP="00C67662">
      <w:pPr>
        <w:autoSpaceDE w:val="0"/>
        <w:autoSpaceDN w:val="0"/>
        <w:adjustRightInd w:val="0"/>
        <w:spacing w:after="0"/>
        <w:jc w:val="both"/>
        <w:rPr>
          <w:rFonts w:ascii="Times New Roman" w:hAnsi="Times New Roman"/>
          <w:b/>
          <w:bCs/>
        </w:rPr>
      </w:pPr>
    </w:p>
    <w:p w14:paraId="5B45C04D" w14:textId="77777777" w:rsidR="0000658E" w:rsidRDefault="0000658E" w:rsidP="00C67662">
      <w:pPr>
        <w:autoSpaceDE w:val="0"/>
        <w:autoSpaceDN w:val="0"/>
        <w:adjustRightInd w:val="0"/>
        <w:spacing w:after="0"/>
        <w:jc w:val="both"/>
        <w:rPr>
          <w:rFonts w:ascii="Times New Roman" w:hAnsi="Times New Roman"/>
          <w:b/>
          <w:bCs/>
        </w:rPr>
      </w:pPr>
    </w:p>
    <w:p w14:paraId="7E26073A" w14:textId="77777777" w:rsidR="0000658E" w:rsidRDefault="0000658E" w:rsidP="00C67662">
      <w:pPr>
        <w:autoSpaceDE w:val="0"/>
        <w:autoSpaceDN w:val="0"/>
        <w:adjustRightInd w:val="0"/>
        <w:spacing w:after="0"/>
        <w:jc w:val="both"/>
        <w:rPr>
          <w:rFonts w:ascii="Times New Roman" w:hAnsi="Times New Roman"/>
          <w:b/>
          <w:bCs/>
        </w:rPr>
      </w:pPr>
    </w:p>
    <w:p w14:paraId="17F6195B" w14:textId="77777777" w:rsidR="0000658E" w:rsidRPr="0000658E" w:rsidRDefault="0000658E" w:rsidP="0000658E">
      <w:pPr>
        <w:spacing w:after="60" w:line="240" w:lineRule="auto"/>
        <w:jc w:val="center"/>
        <w:rPr>
          <w:rFonts w:ascii="Arial" w:eastAsia="Arial" w:hAnsi="Arial" w:cs="Arial"/>
        </w:rPr>
      </w:pPr>
      <w:r w:rsidRPr="0000658E">
        <w:rPr>
          <w:rFonts w:ascii="Arial" w:eastAsia="Arial" w:hAnsi="Arial" w:cs="Arial"/>
          <w:b/>
          <w:bCs/>
          <w:sz w:val="32"/>
          <w:szCs w:val="32"/>
        </w:rPr>
        <w:t>TERMS OF REFERENCE</w:t>
      </w:r>
    </w:p>
    <w:p w14:paraId="57377E91" w14:textId="77777777" w:rsidR="0000658E" w:rsidRPr="0000658E" w:rsidRDefault="0000658E" w:rsidP="0000658E">
      <w:pPr>
        <w:spacing w:after="40" w:line="240" w:lineRule="auto"/>
        <w:jc w:val="center"/>
        <w:rPr>
          <w:rFonts w:ascii="Arial" w:eastAsia="Arial" w:hAnsi="Arial" w:cs="Arial"/>
        </w:rPr>
      </w:pPr>
      <w:r w:rsidRPr="0000658E">
        <w:rPr>
          <w:rFonts w:ascii="Arial" w:eastAsia="Arial" w:hAnsi="Arial" w:cs="Arial"/>
          <w:b/>
          <w:bCs/>
          <w:sz w:val="26"/>
          <w:szCs w:val="26"/>
        </w:rPr>
        <w:t>Intersectional Employment Vulnerability Assessment (EVA)</w:t>
      </w:r>
    </w:p>
    <w:p w14:paraId="06FF5799" w14:textId="77777777" w:rsidR="0000658E" w:rsidRPr="0000658E" w:rsidRDefault="0000658E" w:rsidP="0000658E">
      <w:pPr>
        <w:spacing w:after="240" w:line="240" w:lineRule="auto"/>
        <w:jc w:val="center"/>
        <w:rPr>
          <w:rFonts w:ascii="Arial" w:eastAsia="Arial" w:hAnsi="Arial" w:cs="Arial"/>
        </w:rPr>
      </w:pPr>
      <w:r w:rsidRPr="0000658E">
        <w:rPr>
          <w:rFonts w:ascii="Arial" w:eastAsia="Arial" w:hAnsi="Arial" w:cs="Arial"/>
          <w:b/>
          <w:bCs/>
          <w:color w:val="2E5496"/>
          <w:sz w:val="24"/>
          <w:szCs w:val="24"/>
        </w:rPr>
        <w:t>Gender, Disability &amp; Green Employment in Somalia &amp; Somaliland — IMPACT Project</w:t>
      </w:r>
    </w:p>
    <w:p w14:paraId="0CD030AC"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Action Title: </w:t>
      </w:r>
      <w:r w:rsidRPr="0000658E">
        <w:rPr>
          <w:rFonts w:ascii="Arial" w:eastAsia="Arial" w:hAnsi="Arial" w:cs="Arial"/>
        </w:rPr>
        <w:t>Initiative for Marketable Practices in Agri-business, Circular Economy and Technology (IMPACT).</w:t>
      </w:r>
    </w:p>
    <w:p w14:paraId="29E7F0C8"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Project SOF: </w:t>
      </w:r>
      <w:r w:rsidRPr="0000658E">
        <w:rPr>
          <w:rFonts w:ascii="Arial" w:eastAsia="Arial" w:hAnsi="Arial" w:cs="Arial"/>
        </w:rPr>
        <w:t>20801179.</w:t>
      </w:r>
    </w:p>
    <w:p w14:paraId="420CE845"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Dates: </w:t>
      </w:r>
      <w:r w:rsidRPr="0000658E">
        <w:rPr>
          <w:rFonts w:ascii="Arial" w:eastAsia="Arial" w:hAnsi="Arial" w:cs="Arial"/>
        </w:rPr>
        <w:t>01 January 2025 – 31 December 2027.</w:t>
      </w:r>
    </w:p>
    <w:p w14:paraId="04378114"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Project Locations: </w:t>
      </w:r>
      <w:r w:rsidRPr="0000658E">
        <w:rPr>
          <w:rFonts w:ascii="Arial" w:eastAsia="Arial" w:hAnsi="Arial" w:cs="Arial"/>
        </w:rPr>
        <w:t xml:space="preserve">Baidoa, Mogadishu, Kismayu, Guriel, </w:t>
      </w:r>
      <w:proofErr w:type="spellStart"/>
      <w:r w:rsidRPr="0000658E">
        <w:rPr>
          <w:rFonts w:ascii="Arial" w:eastAsia="Arial" w:hAnsi="Arial" w:cs="Arial"/>
        </w:rPr>
        <w:t>Balcad</w:t>
      </w:r>
      <w:proofErr w:type="spellEnd"/>
      <w:r w:rsidRPr="0000658E">
        <w:rPr>
          <w:rFonts w:ascii="Arial" w:eastAsia="Arial" w:hAnsi="Arial" w:cs="Arial"/>
        </w:rPr>
        <w:t xml:space="preserve">, </w:t>
      </w:r>
      <w:proofErr w:type="spellStart"/>
      <w:r w:rsidRPr="0000658E">
        <w:rPr>
          <w:rFonts w:ascii="Arial" w:eastAsia="Arial" w:hAnsi="Arial" w:cs="Arial"/>
        </w:rPr>
        <w:t>Barawe</w:t>
      </w:r>
      <w:proofErr w:type="spellEnd"/>
      <w:r w:rsidRPr="0000658E">
        <w:rPr>
          <w:rFonts w:ascii="Arial" w:eastAsia="Arial" w:hAnsi="Arial" w:cs="Arial"/>
        </w:rPr>
        <w:t xml:space="preserve">, Garowe, </w:t>
      </w:r>
      <w:proofErr w:type="spellStart"/>
      <w:r w:rsidRPr="0000658E">
        <w:rPr>
          <w:rFonts w:ascii="Arial" w:eastAsia="Arial" w:hAnsi="Arial" w:cs="Arial"/>
        </w:rPr>
        <w:t>Bosaso</w:t>
      </w:r>
      <w:proofErr w:type="spellEnd"/>
      <w:r w:rsidRPr="0000658E">
        <w:rPr>
          <w:rFonts w:ascii="Arial" w:eastAsia="Arial" w:hAnsi="Arial" w:cs="Arial"/>
        </w:rPr>
        <w:t xml:space="preserve">, Badhan, </w:t>
      </w:r>
      <w:proofErr w:type="spellStart"/>
      <w:r w:rsidRPr="0000658E">
        <w:rPr>
          <w:rFonts w:ascii="Arial" w:eastAsia="Arial" w:hAnsi="Arial" w:cs="Arial"/>
        </w:rPr>
        <w:t>Qardho</w:t>
      </w:r>
      <w:proofErr w:type="spellEnd"/>
      <w:r w:rsidRPr="0000658E">
        <w:rPr>
          <w:rFonts w:ascii="Arial" w:eastAsia="Arial" w:hAnsi="Arial" w:cs="Arial"/>
        </w:rPr>
        <w:t xml:space="preserve">, </w:t>
      </w:r>
      <w:proofErr w:type="spellStart"/>
      <w:r w:rsidRPr="0000658E">
        <w:rPr>
          <w:rFonts w:ascii="Arial" w:eastAsia="Arial" w:hAnsi="Arial" w:cs="Arial"/>
        </w:rPr>
        <w:t>Galkacyo</w:t>
      </w:r>
      <w:proofErr w:type="spellEnd"/>
      <w:r w:rsidRPr="0000658E">
        <w:rPr>
          <w:rFonts w:ascii="Arial" w:eastAsia="Arial" w:hAnsi="Arial" w:cs="Arial"/>
        </w:rPr>
        <w:t xml:space="preserve">, </w:t>
      </w:r>
      <w:proofErr w:type="spellStart"/>
      <w:r w:rsidRPr="0000658E">
        <w:rPr>
          <w:rFonts w:ascii="Arial" w:eastAsia="Arial" w:hAnsi="Arial" w:cs="Arial"/>
        </w:rPr>
        <w:t>Galdogob</w:t>
      </w:r>
      <w:proofErr w:type="spellEnd"/>
      <w:r w:rsidRPr="0000658E">
        <w:rPr>
          <w:rFonts w:ascii="Arial" w:eastAsia="Arial" w:hAnsi="Arial" w:cs="Arial"/>
        </w:rPr>
        <w:t xml:space="preserve">, </w:t>
      </w:r>
      <w:proofErr w:type="spellStart"/>
      <w:r w:rsidRPr="0000658E">
        <w:rPr>
          <w:rFonts w:ascii="Arial" w:eastAsia="Arial" w:hAnsi="Arial" w:cs="Arial"/>
        </w:rPr>
        <w:t>Burtinle</w:t>
      </w:r>
      <w:proofErr w:type="spellEnd"/>
      <w:r w:rsidRPr="0000658E">
        <w:rPr>
          <w:rFonts w:ascii="Arial" w:eastAsia="Arial" w:hAnsi="Arial" w:cs="Arial"/>
        </w:rPr>
        <w:t xml:space="preserve"> &amp; Eyl, Hargeisa, Burao, Berbera, Borama and Gebiley.</w:t>
      </w:r>
    </w:p>
    <w:p w14:paraId="605F7FDB"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Thematic Areas: </w:t>
      </w:r>
      <w:r w:rsidRPr="0000658E">
        <w:rPr>
          <w:rFonts w:ascii="Arial" w:eastAsia="Arial" w:hAnsi="Arial" w:cs="Arial"/>
        </w:rPr>
        <w:t>Child Poverty – Food Security and Livelihoods – TVET.</w:t>
      </w:r>
    </w:p>
    <w:p w14:paraId="4AB8D91D"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Sub-themes: </w:t>
      </w:r>
      <w:r w:rsidRPr="0000658E">
        <w:rPr>
          <w:rFonts w:ascii="Arial" w:eastAsia="Arial" w:hAnsi="Arial" w:cs="Arial"/>
        </w:rPr>
        <w:t>TVET.</w:t>
      </w:r>
    </w:p>
    <w:p w14:paraId="306DFE3C" w14:textId="77777777" w:rsidR="0000658E" w:rsidRPr="0000658E" w:rsidRDefault="0000658E" w:rsidP="0000658E">
      <w:pPr>
        <w:spacing w:after="40"/>
        <w:jc w:val="both"/>
        <w:rPr>
          <w:rFonts w:ascii="Arial" w:eastAsia="Arial" w:hAnsi="Arial" w:cs="Arial"/>
        </w:rPr>
      </w:pPr>
      <w:r w:rsidRPr="0000658E">
        <w:rPr>
          <w:rFonts w:ascii="Arial" w:eastAsia="Arial" w:hAnsi="Arial" w:cs="Arial"/>
          <w:b/>
          <w:bCs/>
        </w:rPr>
        <w:t xml:space="preserve">Project Objective: </w:t>
      </w:r>
      <w:r w:rsidRPr="0000658E">
        <w:rPr>
          <w:rFonts w:ascii="Arial" w:eastAsia="Arial" w:hAnsi="Arial" w:cs="Arial"/>
        </w:rPr>
        <w:t>To increase access to renewable energy, accelerate the transition to the circular economy, and expand sustainable agri-food value chains in Somalia/Somaliland.</w:t>
      </w:r>
    </w:p>
    <w:p w14:paraId="06BF0F54"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1. Introduction</w:t>
      </w:r>
    </w:p>
    <w:p w14:paraId="6ABBC096"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Save the Children is the world’s leading independent </w:t>
      </w:r>
      <w:proofErr w:type="spellStart"/>
      <w:r w:rsidRPr="0000658E">
        <w:rPr>
          <w:rFonts w:ascii="Arial" w:eastAsia="Arial" w:hAnsi="Arial" w:cs="Arial"/>
        </w:rPr>
        <w:t>organisation</w:t>
      </w:r>
      <w:proofErr w:type="spellEnd"/>
      <w:r w:rsidRPr="0000658E">
        <w:rPr>
          <w:rFonts w:ascii="Arial" w:eastAsia="Arial" w:hAnsi="Arial" w:cs="Arial"/>
        </w:rPr>
        <w:t xml:space="preserve"> for children, working in 120 countries to save children’s lives, </w:t>
      </w:r>
      <w:proofErr w:type="gramStart"/>
      <w:r w:rsidRPr="0000658E">
        <w:rPr>
          <w:rFonts w:ascii="Arial" w:eastAsia="Arial" w:hAnsi="Arial" w:cs="Arial"/>
        </w:rPr>
        <w:t>fight</w:t>
      </w:r>
      <w:proofErr w:type="gramEnd"/>
      <w:r w:rsidRPr="0000658E">
        <w:rPr>
          <w:rFonts w:ascii="Arial" w:eastAsia="Arial" w:hAnsi="Arial" w:cs="Arial"/>
        </w:rPr>
        <w:t xml:space="preserve"> for their rights, and </w:t>
      </w:r>
      <w:proofErr w:type="gramStart"/>
      <w:r w:rsidRPr="0000658E">
        <w:rPr>
          <w:rFonts w:ascii="Arial" w:eastAsia="Arial" w:hAnsi="Arial" w:cs="Arial"/>
        </w:rPr>
        <w:t>help</w:t>
      </w:r>
      <w:proofErr w:type="gramEnd"/>
      <w:r w:rsidRPr="0000658E">
        <w:rPr>
          <w:rFonts w:ascii="Arial" w:eastAsia="Arial" w:hAnsi="Arial" w:cs="Arial"/>
        </w:rPr>
        <w:t xml:space="preserve"> them fulfil their potential. We have worked in Somalia/Somaliland since 1951, and each year around 650,000 people benefit from our development work in Health, Nutrition, WASH, Education, Food Security and Livelihoods (FSL), Child Protection and Child Rights Governance.</w:t>
      </w:r>
    </w:p>
    <w:p w14:paraId="3FD827BD"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Youth unemployment remains one of the biggest challenges to peace and </w:t>
      </w:r>
      <w:proofErr w:type="spellStart"/>
      <w:r w:rsidRPr="0000658E">
        <w:rPr>
          <w:rFonts w:ascii="Arial" w:eastAsia="Arial" w:hAnsi="Arial" w:cs="Arial"/>
        </w:rPr>
        <w:t>stabilisation</w:t>
      </w:r>
      <w:proofErr w:type="spellEnd"/>
      <w:r w:rsidRPr="0000658E">
        <w:rPr>
          <w:rFonts w:ascii="Arial" w:eastAsia="Arial" w:hAnsi="Arial" w:cs="Arial"/>
        </w:rPr>
        <w:t xml:space="preserve"> across the project’s target districts. Somalia/Somaliland has one of the largest proportional youth populations in the world an estimated 73% of the population is under 30 and within this group internally displaced youth and young returning refugees are among the most </w:t>
      </w:r>
      <w:proofErr w:type="spellStart"/>
      <w:r w:rsidRPr="0000658E">
        <w:rPr>
          <w:rFonts w:ascii="Arial" w:eastAsia="Arial" w:hAnsi="Arial" w:cs="Arial"/>
        </w:rPr>
        <w:t>marginalised</w:t>
      </w:r>
      <w:proofErr w:type="spellEnd"/>
      <w:r w:rsidRPr="0000658E">
        <w:rPr>
          <w:rFonts w:ascii="Arial" w:eastAsia="Arial" w:hAnsi="Arial" w:cs="Arial"/>
        </w:rPr>
        <w:t xml:space="preserve"> and at-risk. TVET offers an opportunity to engage this youth population, yet enrolment in TVET and tertiary education stands at just 5% of the eligible population, and the system is underdeveloped, underfunded, and weakly coordinated.</w:t>
      </w:r>
    </w:p>
    <w:p w14:paraId="6279510E"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There is also a significant gender gap in TVET and employment participation. Constraints affecting women include early and forced marriage, gender-based violence, and early pregnancies, alongside social norms that discourage women from entering male-dominated sectors such as energy, trade and agribusiness. Inequitable hiring practices for women and persons with disabilities (</w:t>
      </w:r>
      <w:proofErr w:type="spellStart"/>
      <w:r w:rsidRPr="0000658E">
        <w:rPr>
          <w:rFonts w:ascii="Arial" w:eastAsia="Arial" w:hAnsi="Arial" w:cs="Arial"/>
        </w:rPr>
        <w:t>PwD</w:t>
      </w:r>
      <w:proofErr w:type="spellEnd"/>
      <w:r w:rsidRPr="0000658E">
        <w:rPr>
          <w:rFonts w:ascii="Arial" w:eastAsia="Arial" w:hAnsi="Arial" w:cs="Arial"/>
        </w:rPr>
        <w:t>) present further barriers to decent jobs.</w:t>
      </w:r>
    </w:p>
    <w:p w14:paraId="6327664B"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2. Project Background</w:t>
      </w:r>
    </w:p>
    <w:p w14:paraId="798C2DC6"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The IMPACT project addresses these constraints by creating pathways for skill development in emerging green sectors — renewable energy, the circular economy and agri-business so that Somali youth and adults gain the competencies needed for sustainable livelihoods. It is aligned with Somalia’s National Development Plan (NDP-9) and Somaliland’s NDP3, and contributes to SDGs 4 (Quality Education), 5 (Gender Equality), 7 (Affordable and Clean Energy), 8 (Decent Work and Economic Growth) and 13 (Climate Action).</w:t>
      </w:r>
    </w:p>
    <w:p w14:paraId="11C4FFAA"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IMPACT is implemented by Save the Children in collaboration with consortium partners ADRA, Windle International and </w:t>
      </w:r>
      <w:proofErr w:type="spellStart"/>
      <w:r w:rsidRPr="0000658E">
        <w:rPr>
          <w:rFonts w:ascii="Arial" w:eastAsia="Arial" w:hAnsi="Arial" w:cs="Arial"/>
        </w:rPr>
        <w:t>Shaqodoon</w:t>
      </w:r>
      <w:proofErr w:type="spellEnd"/>
      <w:r w:rsidRPr="0000658E">
        <w:rPr>
          <w:rFonts w:ascii="Arial" w:eastAsia="Arial" w:hAnsi="Arial" w:cs="Arial"/>
        </w:rPr>
        <w:t xml:space="preserve">. The project enhances TVET </w:t>
      </w:r>
      <w:proofErr w:type="spellStart"/>
      <w:r w:rsidRPr="0000658E">
        <w:rPr>
          <w:rFonts w:ascii="Arial" w:eastAsia="Arial" w:hAnsi="Arial" w:cs="Arial"/>
        </w:rPr>
        <w:t>centres</w:t>
      </w:r>
      <w:proofErr w:type="spellEnd"/>
      <w:r w:rsidRPr="0000658E">
        <w:rPr>
          <w:rFonts w:ascii="Arial" w:eastAsia="Arial" w:hAnsi="Arial" w:cs="Arial"/>
        </w:rPr>
        <w:t xml:space="preserve">, strengthens public –private coordination, and builds a skilled workforce to promote green growth, equitable jobs, and climate </w:t>
      </w:r>
      <w:r w:rsidRPr="0000658E">
        <w:rPr>
          <w:rFonts w:ascii="Arial" w:eastAsia="Arial" w:hAnsi="Arial" w:cs="Arial"/>
        </w:rPr>
        <w:lastRenderedPageBreak/>
        <w:t xml:space="preserve">resilience. It works with key government agencies including the Ministry of Education and the Ministry of </w:t>
      </w:r>
      <w:proofErr w:type="spellStart"/>
      <w:r w:rsidRPr="0000658E">
        <w:rPr>
          <w:rFonts w:ascii="Arial" w:eastAsia="Arial" w:hAnsi="Arial" w:cs="Arial"/>
        </w:rPr>
        <w:t>Labour</w:t>
      </w:r>
      <w:proofErr w:type="spellEnd"/>
      <w:r w:rsidRPr="0000658E">
        <w:rPr>
          <w:rFonts w:ascii="Arial" w:eastAsia="Arial" w:hAnsi="Arial" w:cs="Arial"/>
        </w:rPr>
        <w:t xml:space="preserve"> and Social Affairs. IMPACT pursues three interconnected outputs:</w:t>
      </w:r>
    </w:p>
    <w:p w14:paraId="4D90E49D"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Output 1: Somali female and male youth obtain marketable, climate-resilient green skills in renewable energy, circular economy, and sustainable agribusinesses.</w:t>
      </w:r>
    </w:p>
    <w:p w14:paraId="4A9F3C4B"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Output 2: Enhanced institutional capacity of TVET </w:t>
      </w:r>
      <w:proofErr w:type="spellStart"/>
      <w:r w:rsidRPr="0000658E">
        <w:rPr>
          <w:rFonts w:ascii="Arial" w:eastAsia="Arial" w:hAnsi="Arial" w:cs="Arial"/>
        </w:rPr>
        <w:t>centres</w:t>
      </w:r>
      <w:proofErr w:type="spellEnd"/>
      <w:r w:rsidRPr="0000658E">
        <w:rPr>
          <w:rFonts w:ascii="Arial" w:eastAsia="Arial" w:hAnsi="Arial" w:cs="Arial"/>
        </w:rPr>
        <w:t xml:space="preserve"> and professional technical secondary schools to deliver training in marketable green skills.</w:t>
      </w:r>
    </w:p>
    <w:p w14:paraId="59D8DA3E"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Output 3: Strengthened capacity of public institutions to manage, monitor, and coordinate green skills initiatives.</w:t>
      </w:r>
    </w:p>
    <w:p w14:paraId="6F3963EC"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While the IMPACT proposal includes Activity 1.1.2, “Conduct/feed into an Employment Vulnerability Assessment with a gender lens,” a critical gap remains: current vulnerability frameworks do not adequately capture the intersection of gender and disability, nor do they measure employment vulnerability as a dynamic, gender-based outcome. Standard tools treat vulnerability as a static individual characteristic, rather than a condition shaped by unequal gender power relations, the </w:t>
      </w:r>
      <w:proofErr w:type="gramStart"/>
      <w:r w:rsidRPr="0000658E">
        <w:rPr>
          <w:rFonts w:ascii="Arial" w:eastAsia="Arial" w:hAnsi="Arial" w:cs="Arial"/>
        </w:rPr>
        <w:t>gendered</w:t>
      </w:r>
      <w:proofErr w:type="gramEnd"/>
      <w:r w:rsidRPr="0000658E">
        <w:rPr>
          <w:rFonts w:ascii="Arial" w:eastAsia="Arial" w:hAnsi="Arial" w:cs="Arial"/>
        </w:rPr>
        <w:t xml:space="preserve"> division of </w:t>
      </w:r>
      <w:proofErr w:type="spellStart"/>
      <w:r w:rsidRPr="0000658E">
        <w:rPr>
          <w:rFonts w:ascii="Arial" w:eastAsia="Arial" w:hAnsi="Arial" w:cs="Arial"/>
        </w:rPr>
        <w:t>labour</w:t>
      </w:r>
      <w:proofErr w:type="spellEnd"/>
      <w:r w:rsidRPr="0000658E">
        <w:rPr>
          <w:rFonts w:ascii="Arial" w:eastAsia="Arial" w:hAnsi="Arial" w:cs="Arial"/>
        </w:rPr>
        <w:t>, and structural barriers that extend beyond job placement.</w:t>
      </w:r>
    </w:p>
    <w:p w14:paraId="07BB480E"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3. Rationale, Scope &amp; Purpose</w:t>
      </w:r>
    </w:p>
    <w:p w14:paraId="36C7E32E"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3.1 Scope</w:t>
      </w:r>
    </w:p>
    <w:p w14:paraId="2D6327FD"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This assessment sits under </w:t>
      </w:r>
      <w:r w:rsidRPr="0000658E">
        <w:rPr>
          <w:rFonts w:ascii="Arial" w:eastAsia="Arial" w:hAnsi="Arial" w:cs="Arial"/>
          <w:b/>
          <w:bCs/>
        </w:rPr>
        <w:t>Output 1</w:t>
      </w:r>
      <w:r w:rsidRPr="0000658E">
        <w:rPr>
          <w:rFonts w:ascii="Arial" w:eastAsia="Arial" w:hAnsi="Arial" w:cs="Arial"/>
        </w:rPr>
        <w:t xml:space="preserve"> (young women and men obtaining marketable, climate-resilient green skills</w:t>
      </w:r>
      <w:proofErr w:type="gramStart"/>
      <w:r w:rsidRPr="0000658E">
        <w:rPr>
          <w:rFonts w:ascii="Arial" w:eastAsia="Arial" w:hAnsi="Arial" w:cs="Arial"/>
        </w:rPr>
        <w:t>), but</w:t>
      </w:r>
      <w:proofErr w:type="gramEnd"/>
      <w:r w:rsidRPr="0000658E">
        <w:rPr>
          <w:rFonts w:ascii="Arial" w:eastAsia="Arial" w:hAnsi="Arial" w:cs="Arial"/>
        </w:rPr>
        <w:t xml:space="preserve"> focuses specifically on the </w:t>
      </w:r>
      <w:r w:rsidRPr="0000658E">
        <w:rPr>
          <w:rFonts w:ascii="Arial" w:eastAsia="Arial" w:hAnsi="Arial" w:cs="Arial"/>
          <w:b/>
          <w:bCs/>
        </w:rPr>
        <w:t>transition stage of the learner’s journey</w:t>
      </w:r>
      <w:r w:rsidRPr="0000658E">
        <w:rPr>
          <w:rFonts w:ascii="Arial" w:eastAsia="Arial" w:hAnsi="Arial" w:cs="Arial"/>
        </w:rPr>
        <w:t xml:space="preserve"> what happens once young women, IDPs, refugees, and persons with disabilities graduate with new green TVET skills and move into employment and the market. It therefore gives particular attention to the </w:t>
      </w:r>
      <w:r w:rsidRPr="0000658E">
        <w:rPr>
          <w:rFonts w:ascii="Arial" w:eastAsia="Arial" w:hAnsi="Arial" w:cs="Arial"/>
          <w:b/>
          <w:bCs/>
        </w:rPr>
        <w:t>private-sector and uptake side</w:t>
      </w:r>
      <w:r w:rsidRPr="0000658E">
        <w:rPr>
          <w:rFonts w:ascii="Arial" w:eastAsia="Arial" w:hAnsi="Arial" w:cs="Arial"/>
        </w:rPr>
        <w:t>: piloting the Employment Vulnerability Index (EVI) tool with employers and partners to surface concrete, vulnerability-sensitive solutions, and beginning to track the IMPACT graduate cohort’s employability over time and link it to vulnerability, generating evidence to inform shifts in programming, briefs, and policy.</w:t>
      </w:r>
    </w:p>
    <w:p w14:paraId="5001EB4D"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3.2 The Gap This Research Addresses</w:t>
      </w:r>
    </w:p>
    <w:p w14:paraId="74ACD35E"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Existing IMPACT assessments (the </w:t>
      </w:r>
      <w:proofErr w:type="spellStart"/>
      <w:r w:rsidRPr="0000658E">
        <w:rPr>
          <w:rFonts w:ascii="Arial" w:eastAsia="Arial" w:hAnsi="Arial" w:cs="Arial"/>
        </w:rPr>
        <w:t>Labour</w:t>
      </w:r>
      <w:proofErr w:type="spellEnd"/>
      <w:r w:rsidRPr="0000658E">
        <w:rPr>
          <w:rFonts w:ascii="Arial" w:eastAsia="Arial" w:hAnsi="Arial" w:cs="Arial"/>
        </w:rPr>
        <w:t xml:space="preserve"> Market Assessment, Baseline, and TVET Capacity Assessment) measure whether vulnerable groups reach TVET and obtain jobs. They do not systematically measure the dimensions that determine whether employment is genuinely inclusive and sustained:</w:t>
      </w:r>
    </w:p>
    <w:p w14:paraId="2535BAA8"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Gendered dimensions of job quality whether jobs are decent, safe and stable, including gender-based violence and harassment (GBVH), the gender wage gap, and the unpaid care burden that restricts </w:t>
      </w:r>
      <w:proofErr w:type="gramStart"/>
      <w:r w:rsidRPr="0000658E">
        <w:rPr>
          <w:rFonts w:ascii="Arial" w:eastAsia="Arial" w:hAnsi="Arial" w:cs="Arial"/>
        </w:rPr>
        <w:t>women’s employment</w:t>
      </w:r>
      <w:proofErr w:type="gramEnd"/>
      <w:r w:rsidRPr="0000658E">
        <w:rPr>
          <w:rFonts w:ascii="Arial" w:eastAsia="Arial" w:hAnsi="Arial" w:cs="Arial"/>
        </w:rPr>
        <w:t xml:space="preserve"> continuity.</w:t>
      </w:r>
    </w:p>
    <w:p w14:paraId="19467C1A"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Gendered barriers to accommodation whether reasonable accommodations are provided, </w:t>
      </w:r>
      <w:proofErr w:type="spellStart"/>
      <w:r w:rsidRPr="0000658E">
        <w:rPr>
          <w:rFonts w:ascii="Arial" w:eastAsia="Arial" w:hAnsi="Arial" w:cs="Arial"/>
        </w:rPr>
        <w:t>recognising</w:t>
      </w:r>
      <w:proofErr w:type="spellEnd"/>
      <w:r w:rsidRPr="0000658E">
        <w:rPr>
          <w:rFonts w:ascii="Arial" w:eastAsia="Arial" w:hAnsi="Arial" w:cs="Arial"/>
        </w:rPr>
        <w:t xml:space="preserve"> that women with disabilities face unique barriers (e.g. accessible GBV response, reproductive health needs).</w:t>
      </w:r>
    </w:p>
    <w:p w14:paraId="4013A658"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Transformation of vulnerability over time </w:t>
      </w:r>
      <w:proofErr w:type="gramStart"/>
      <w:r w:rsidRPr="0000658E">
        <w:rPr>
          <w:rFonts w:ascii="Arial" w:eastAsia="Arial" w:hAnsi="Arial" w:cs="Arial"/>
        </w:rPr>
        <w:t>how</w:t>
      </w:r>
      <w:proofErr w:type="gramEnd"/>
      <w:r w:rsidRPr="0000658E">
        <w:rPr>
          <w:rFonts w:ascii="Arial" w:eastAsia="Arial" w:hAnsi="Arial" w:cs="Arial"/>
        </w:rPr>
        <w:t xml:space="preserve"> norms, mobility restrictions and safety concerns continue to shape employment trajectories long after training or an internship ends.</w:t>
      </w:r>
    </w:p>
    <w:p w14:paraId="4CE160F3"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Intersectional depth how intersecting identities (e.g. a young woman with a psychosocial disability from an IDP settlement) compound vulnerability in ways that single-axis analysis misses.</w:t>
      </w:r>
    </w:p>
    <w:p w14:paraId="7D512217"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3.3 Purpose</w:t>
      </w:r>
    </w:p>
    <w:p w14:paraId="2C95C810"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The primary purpose of this assignment is to:</w:t>
      </w:r>
    </w:p>
    <w:p w14:paraId="0928E376"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lastRenderedPageBreak/>
        <w:t>Develop and pilot an intersectional Employment Vulnerability Index (EVI) tailored to Somalia/Somaliland’s green economy, measuring access and the gendered dimensions of quality, stability, safety, and accommodation.</w:t>
      </w:r>
    </w:p>
    <w:p w14:paraId="00AACA96"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Generate empirical, intersectional evidence on how employment vulnerability is differentiated by gender, disability, and their intersection, moving beyond descriptive statistics and perceptual data to actual lived realities and employment outcomes.</w:t>
      </w:r>
    </w:p>
    <w:p w14:paraId="332A901E"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Produce actionable, gender-transformative recommendations for TVET-level interventions, employer engagement, and national policy that challenge harmful norms and reduce vulnerability post-placement.</w:t>
      </w:r>
    </w:p>
    <w:p w14:paraId="02E7AE83"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Review and refine the already-drafted Gender and Disability Inclusion Roadmap using the assessment findings, to develop a clearer, more precise roadmap.</w:t>
      </w:r>
    </w:p>
    <w:p w14:paraId="0D1E8DE1"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4. Objectives &amp; Study Questions</w:t>
      </w:r>
    </w:p>
    <w:p w14:paraId="6835A800"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The consultancy will achieve three overarching objectives, all </w:t>
      </w:r>
      <w:proofErr w:type="spellStart"/>
      <w:r w:rsidRPr="0000658E">
        <w:rPr>
          <w:rFonts w:ascii="Arial" w:eastAsia="Arial" w:hAnsi="Arial" w:cs="Arial"/>
        </w:rPr>
        <w:t>analysed</w:t>
      </w:r>
      <w:proofErr w:type="spellEnd"/>
      <w:r w:rsidRPr="0000658E">
        <w:rPr>
          <w:rFonts w:ascii="Arial" w:eastAsia="Arial" w:hAnsi="Arial" w:cs="Arial"/>
        </w:rPr>
        <w:t xml:space="preserve"> through an explicit gender lens.</w:t>
      </w:r>
    </w:p>
    <w:p w14:paraId="6D7AE41D"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Objective 1 — Strengthen the evidence base on employment vulnerability</w:t>
      </w:r>
    </w:p>
    <w:p w14:paraId="1E8E16DC"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Address key gaps in existing assessments and generate robust, intersectional evidence on how gender, disability, and other factors shape access to and outcomes in green employment.</w:t>
      </w:r>
    </w:p>
    <w:p w14:paraId="4C0FC62B" w14:textId="77777777" w:rsidR="0000658E" w:rsidRPr="0000658E" w:rsidRDefault="0000658E" w:rsidP="0000658E">
      <w:pPr>
        <w:spacing w:after="60"/>
        <w:jc w:val="both"/>
        <w:rPr>
          <w:rFonts w:ascii="Arial" w:eastAsia="Arial" w:hAnsi="Arial" w:cs="Arial"/>
        </w:rPr>
      </w:pPr>
      <w:r w:rsidRPr="0000658E">
        <w:rPr>
          <w:rFonts w:ascii="Arial" w:eastAsia="Arial" w:hAnsi="Arial" w:cs="Arial"/>
          <w:b/>
          <w:bCs/>
        </w:rPr>
        <w:t>Study question:</w:t>
      </w:r>
    </w:p>
    <w:p w14:paraId="14324E12"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
          <w:iCs/>
        </w:rPr>
        <w:t>What distinct vulnerabilities do different groups (especially young women and persons with disabilities) face, and how do these shape access to green jobs and employment outcomes?</w:t>
      </w:r>
    </w:p>
    <w:p w14:paraId="68E9B1F9" w14:textId="77777777" w:rsidR="0000658E" w:rsidRPr="0000658E" w:rsidRDefault="0000658E" w:rsidP="0000658E">
      <w:pPr>
        <w:numPr>
          <w:ilvl w:val="0"/>
          <w:numId w:val="14"/>
        </w:numPr>
        <w:spacing w:after="60" w:line="240" w:lineRule="auto"/>
        <w:jc w:val="both"/>
        <w:rPr>
          <w:rFonts w:ascii="Arial" w:eastAsia="Arial" w:hAnsi="Arial" w:cs="Arial"/>
          <w:i/>
          <w:iCs/>
        </w:rPr>
      </w:pPr>
      <w:r w:rsidRPr="0000658E">
        <w:rPr>
          <w:rFonts w:ascii="Arial" w:eastAsia="Arial" w:hAnsi="Arial" w:cs="Arial"/>
          <w:i/>
          <w:iCs/>
        </w:rPr>
        <w:t>What systemic legal, financial, and physical infrastructure deficits prevent vulnerable graduates from accessing, sustaining employment, or launching green enterprises post-placement?</w:t>
      </w:r>
    </w:p>
    <w:p w14:paraId="685D8874" w14:textId="77777777" w:rsidR="0000658E" w:rsidRPr="0000658E" w:rsidRDefault="0000658E" w:rsidP="0000658E">
      <w:pPr>
        <w:spacing w:before="200" w:after="100" w:line="240" w:lineRule="auto"/>
        <w:jc w:val="both"/>
        <w:outlineLvl w:val="1"/>
        <w:rPr>
          <w:rFonts w:ascii="Arial" w:eastAsia="Arial" w:hAnsi="Arial" w:cs="Arial"/>
          <w:b/>
          <w:bCs/>
          <w:color w:val="2E5496"/>
          <w:sz w:val="24"/>
          <w:szCs w:val="24"/>
        </w:rPr>
      </w:pPr>
      <w:r w:rsidRPr="0000658E">
        <w:rPr>
          <w:rFonts w:ascii="Arial" w:eastAsia="Arial" w:hAnsi="Arial" w:cs="Arial"/>
          <w:b/>
          <w:bCs/>
          <w:color w:val="2E5496"/>
          <w:sz w:val="24"/>
          <w:szCs w:val="24"/>
        </w:rPr>
        <w:t>Objective 2 — Assess systemic and workplace drivers of equality and inclusion</w:t>
      </w:r>
    </w:p>
    <w:p w14:paraId="6748B2AA" w14:textId="7DEE2704" w:rsidR="0000658E" w:rsidRPr="0000658E" w:rsidRDefault="00EB2FDF" w:rsidP="0000658E">
      <w:pPr>
        <w:spacing w:after="120"/>
        <w:jc w:val="both"/>
        <w:rPr>
          <w:rFonts w:ascii="Arial" w:eastAsia="Arial" w:hAnsi="Arial" w:cs="Arial"/>
        </w:rPr>
      </w:pPr>
      <w:r w:rsidRPr="0000658E">
        <w:rPr>
          <w:rFonts w:ascii="Arial" w:eastAsia="Arial" w:hAnsi="Arial" w:cs="Arial"/>
        </w:rPr>
        <w:t>Analyze</w:t>
      </w:r>
      <w:r w:rsidR="0000658E" w:rsidRPr="0000658E">
        <w:rPr>
          <w:rFonts w:ascii="Arial" w:eastAsia="Arial" w:hAnsi="Arial" w:cs="Arial"/>
        </w:rPr>
        <w:t xml:space="preserve"> the role of employers, TVET institutions, and public systems in enabling or constraining inclusive, safe, and equitable employment, with a focus on gender equality and disability.</w:t>
      </w:r>
    </w:p>
    <w:p w14:paraId="6AFB0C81" w14:textId="77777777" w:rsidR="0000658E" w:rsidRPr="0000658E" w:rsidRDefault="0000658E" w:rsidP="0000658E">
      <w:pPr>
        <w:spacing w:after="60"/>
        <w:jc w:val="both"/>
        <w:rPr>
          <w:rFonts w:ascii="Arial" w:eastAsia="Arial" w:hAnsi="Arial" w:cs="Arial"/>
        </w:rPr>
      </w:pPr>
      <w:r w:rsidRPr="0000658E">
        <w:rPr>
          <w:rFonts w:ascii="Arial" w:eastAsia="Arial" w:hAnsi="Arial" w:cs="Arial"/>
          <w:b/>
          <w:bCs/>
        </w:rPr>
        <w:t>Study questions:</w:t>
      </w:r>
    </w:p>
    <w:p w14:paraId="3C1BAE85"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
          <w:iCs/>
        </w:rPr>
        <w:t>What gaps exist in employment quality beyond access (wages, security, safety, etc.) across gender and disability?</w:t>
      </w:r>
    </w:p>
    <w:p w14:paraId="0D02EF53"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
          <w:iCs/>
        </w:rPr>
        <w:t>Which employers and institutional practices enable or limit inclusive and safe employment?</w:t>
      </w:r>
    </w:p>
    <w:p w14:paraId="44A3EFCF"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
          <w:iCs/>
        </w:rPr>
        <w:t xml:space="preserve">What solutions (practical, incentives, or other) influence employers’ </w:t>
      </w:r>
      <w:proofErr w:type="spellStart"/>
      <w:r w:rsidRPr="0000658E">
        <w:rPr>
          <w:rFonts w:ascii="Arial" w:eastAsia="Arial" w:hAnsi="Arial" w:cs="Arial"/>
          <w:i/>
          <w:iCs/>
        </w:rPr>
        <w:t>behaviour</w:t>
      </w:r>
      <w:proofErr w:type="spellEnd"/>
      <w:r w:rsidRPr="0000658E">
        <w:rPr>
          <w:rFonts w:ascii="Arial" w:eastAsia="Arial" w:hAnsi="Arial" w:cs="Arial"/>
          <w:i/>
          <w:iCs/>
        </w:rPr>
        <w:t xml:space="preserve"> towards young women and persons with disabilities?</w:t>
      </w:r>
    </w:p>
    <w:p w14:paraId="6033BBED" w14:textId="77777777" w:rsidR="0000658E" w:rsidRPr="0000658E" w:rsidRDefault="0000658E" w:rsidP="0000658E">
      <w:pPr>
        <w:numPr>
          <w:ilvl w:val="0"/>
          <w:numId w:val="14"/>
        </w:numPr>
        <w:spacing w:after="60" w:line="240" w:lineRule="auto"/>
        <w:jc w:val="both"/>
        <w:rPr>
          <w:rFonts w:ascii="Arial" w:eastAsia="Arial" w:hAnsi="Arial" w:cs="Arial"/>
          <w:i/>
          <w:iCs/>
        </w:rPr>
      </w:pPr>
      <w:r w:rsidRPr="0000658E">
        <w:rPr>
          <w:rFonts w:ascii="Arial" w:eastAsia="Arial" w:hAnsi="Arial" w:cs="Arial"/>
          <w:i/>
          <w:iCs/>
        </w:rPr>
        <w:t>To what extent do the policies, infrastructure, and institutional cultures of TVET centers, private-sector green employers, and public systems actively enable or constrain safe, inclusive, and equitable employment outcomes for young women and persons with disabilities?</w:t>
      </w:r>
    </w:p>
    <w:p w14:paraId="3BBD6A3C"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Objective 3 — Deliver practical tools and recommendations for IMPACT to act on</w:t>
      </w:r>
    </w:p>
    <w:p w14:paraId="6CA1524A"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i) Develop a draft Employment Vulnerability Index (EVI) tool ready for testing in IMPACT and tailored to Somalia/Somaliland’s green sector; </w:t>
      </w:r>
    </w:p>
    <w:p w14:paraId="03DEE091"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ii) Produce actionable, gender-transformative recommendations to inform IMPACT programming;</w:t>
      </w:r>
    </w:p>
    <w:p w14:paraId="1859BB92"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 xml:space="preserve">iii) Consider what is feasible within the remaining </w:t>
      </w:r>
      <w:proofErr w:type="spellStart"/>
      <w:r w:rsidRPr="0000658E">
        <w:rPr>
          <w:rFonts w:ascii="Arial" w:eastAsia="Arial" w:hAnsi="Arial" w:cs="Arial"/>
        </w:rPr>
        <w:t>programme</w:t>
      </w:r>
      <w:proofErr w:type="spellEnd"/>
      <w:r w:rsidRPr="0000658E">
        <w:rPr>
          <w:rFonts w:ascii="Arial" w:eastAsia="Arial" w:hAnsi="Arial" w:cs="Arial"/>
        </w:rPr>
        <w:t xml:space="preserve"> and policy engagement; and refine the consortium-wide IMPACT Gender and Disability Inclusion Roadmap.</w:t>
      </w:r>
    </w:p>
    <w:p w14:paraId="457D9FEA" w14:textId="77777777" w:rsidR="0000658E" w:rsidRPr="0000658E" w:rsidRDefault="0000658E" w:rsidP="0000658E">
      <w:pPr>
        <w:spacing w:after="60"/>
        <w:jc w:val="both"/>
        <w:rPr>
          <w:rFonts w:ascii="Arial" w:eastAsia="Arial" w:hAnsi="Arial" w:cs="Arial"/>
          <w:b/>
          <w:bCs/>
        </w:rPr>
      </w:pPr>
      <w:r w:rsidRPr="0000658E">
        <w:rPr>
          <w:rFonts w:ascii="Arial" w:eastAsia="Arial" w:hAnsi="Arial" w:cs="Arial"/>
          <w:b/>
          <w:bCs/>
        </w:rPr>
        <w:t>Study questions:</w:t>
      </w:r>
    </w:p>
    <w:p w14:paraId="7F6C9F9B" w14:textId="77777777" w:rsidR="0000658E" w:rsidRPr="0000658E" w:rsidRDefault="0000658E" w:rsidP="0000658E">
      <w:pPr>
        <w:spacing w:after="0" w:line="240" w:lineRule="auto"/>
        <w:rPr>
          <w:rFonts w:ascii="Arial" w:eastAsia="Arial" w:hAnsi="Arial" w:cs="Arial"/>
          <w:b/>
          <w:i/>
        </w:rPr>
      </w:pPr>
      <w:r w:rsidRPr="0000658E">
        <w:rPr>
          <w:rFonts w:ascii="Times New Roman" w:eastAsia="Times New Roman" w:hAnsi="Times New Roman"/>
          <w:sz w:val="24"/>
          <w:szCs w:val="24"/>
        </w:rPr>
        <w:t xml:space="preserve">    </w:t>
      </w:r>
    </w:p>
    <w:p w14:paraId="05340814"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Cs/>
        </w:rPr>
        <w:t>How do different forms of vulnerability interact and change over time?</w:t>
      </w:r>
    </w:p>
    <w:p w14:paraId="3826AA07"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Cs/>
        </w:rPr>
        <w:lastRenderedPageBreak/>
        <w:t>What interventions are most effective in reducing vulnerability and improving empowerment outcomes?</w:t>
      </w:r>
    </w:p>
    <w:p w14:paraId="3E55A250" w14:textId="77777777" w:rsidR="0000658E" w:rsidRPr="0000658E" w:rsidRDefault="0000658E" w:rsidP="0000658E">
      <w:pPr>
        <w:numPr>
          <w:ilvl w:val="0"/>
          <w:numId w:val="14"/>
        </w:numPr>
        <w:spacing w:after="60" w:line="240" w:lineRule="auto"/>
        <w:jc w:val="both"/>
        <w:rPr>
          <w:rFonts w:ascii="Arial" w:eastAsia="Arial" w:hAnsi="Arial" w:cs="Arial"/>
        </w:rPr>
      </w:pPr>
      <w:r w:rsidRPr="0000658E">
        <w:rPr>
          <w:rFonts w:ascii="Arial" w:eastAsia="Arial" w:hAnsi="Arial" w:cs="Arial"/>
          <w:iCs/>
        </w:rPr>
        <w:t>Are certain green sectors systematically segregated, and how can access to and the quality of the job experience be improved from both employers’ and employees’ perspectives?</w:t>
      </w:r>
    </w:p>
    <w:p w14:paraId="7640B3BF"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5. Methodology</w:t>
      </w:r>
    </w:p>
    <w:p w14:paraId="2B3C9AAD"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The consultant or firm should apply a mixed-methods, participatory, intersectional and gender-equitable design that moves beyond describing barriers to explaining how gender and disability interact to produce employment vulnerability. All data-collection tools should be designed to uncover gender-specific disparities and power dynamics, and the approach should be accessible and ethically rigorous throughout.</w:t>
      </w:r>
    </w:p>
    <w:p w14:paraId="4F06B517"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In line with the scope, the methodology should give particular attention to:</w:t>
      </w:r>
    </w:p>
    <w:p w14:paraId="4F5E0FD1"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Piloting the EVI tool and collecting evidence testing the draft index in the field and refining it for use within IMPACT.</w:t>
      </w:r>
    </w:p>
    <w:p w14:paraId="6691A44F"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Private-sector engagement and uptake engaging employers and partners to understand demand-side practices, co-identify concrete and vulnerability-sensitive solutions.</w:t>
      </w:r>
    </w:p>
    <w:p w14:paraId="7C594D4D" w14:textId="112EEA41"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Tracking the graduate cohort following a cohort of IMPACT graduates to link employability outcomes to vulnerability over time, providing evidence for </w:t>
      </w:r>
      <w:proofErr w:type="spellStart"/>
      <w:r w:rsidRPr="0000658E">
        <w:rPr>
          <w:rFonts w:ascii="Arial" w:eastAsia="Arial" w:hAnsi="Arial" w:cs="Arial"/>
        </w:rPr>
        <w:t>programme</w:t>
      </w:r>
      <w:proofErr w:type="spellEnd"/>
      <w:r w:rsidRPr="0000658E">
        <w:rPr>
          <w:rFonts w:ascii="Arial" w:eastAsia="Arial" w:hAnsi="Arial" w:cs="Arial"/>
        </w:rPr>
        <w:t xml:space="preserve"> </w:t>
      </w:r>
      <w:r w:rsidR="00EB2FDF" w:rsidRPr="0000658E">
        <w:rPr>
          <w:rFonts w:ascii="Arial" w:eastAsia="Arial" w:hAnsi="Arial" w:cs="Arial"/>
        </w:rPr>
        <w:t>and brief</w:t>
      </w:r>
      <w:r w:rsidRPr="0000658E">
        <w:rPr>
          <w:rFonts w:ascii="Arial" w:eastAsia="Arial" w:hAnsi="Arial" w:cs="Arial"/>
        </w:rPr>
        <w:t xml:space="preserve"> and policy adjustments.</w:t>
      </w:r>
    </w:p>
    <w:p w14:paraId="08F784AD"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While the research questions above guide how the assessment should be conducted, the development of additional research questions would be an added advantage that would further strengthen the assessment.</w:t>
      </w:r>
    </w:p>
    <w:p w14:paraId="1AA9A483" w14:textId="77777777" w:rsidR="0000658E" w:rsidRPr="0000658E" w:rsidRDefault="0000658E" w:rsidP="0000658E">
      <w:pPr>
        <w:spacing w:before="200" w:after="100" w:line="240" w:lineRule="auto"/>
        <w:outlineLvl w:val="1"/>
        <w:rPr>
          <w:rFonts w:ascii="Arial" w:eastAsia="Arial" w:hAnsi="Arial" w:cs="Arial"/>
          <w:b/>
          <w:bCs/>
          <w:color w:val="2E5496"/>
          <w:sz w:val="24"/>
          <w:szCs w:val="24"/>
        </w:rPr>
      </w:pPr>
      <w:r w:rsidRPr="0000658E">
        <w:rPr>
          <w:rFonts w:ascii="Arial" w:eastAsia="Arial" w:hAnsi="Arial" w:cs="Arial"/>
          <w:b/>
          <w:bCs/>
          <w:color w:val="2E5496"/>
          <w:sz w:val="24"/>
          <w:szCs w:val="24"/>
        </w:rPr>
        <w:t>5.1 Ethical &amp; Safety Protocols (Mandatory)</w:t>
      </w:r>
    </w:p>
    <w:p w14:paraId="7918E9E3"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GBV risk mitigation as a core principle all tools and protocols are reviewed against a GBV risk assessment; data collection will not proceed where it could increase women’s exposure to backlash or violence.</w:t>
      </w:r>
    </w:p>
    <w:p w14:paraId="4BD1A16D"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Informed consent scripts </w:t>
      </w:r>
      <w:proofErr w:type="spellStart"/>
      <w:r w:rsidRPr="0000658E">
        <w:rPr>
          <w:rFonts w:ascii="Arial" w:eastAsia="Arial" w:hAnsi="Arial" w:cs="Arial"/>
        </w:rPr>
        <w:t>emphasise</w:t>
      </w:r>
      <w:proofErr w:type="spellEnd"/>
      <w:r w:rsidRPr="0000658E">
        <w:rPr>
          <w:rFonts w:ascii="Arial" w:eastAsia="Arial" w:hAnsi="Arial" w:cs="Arial"/>
        </w:rPr>
        <w:t xml:space="preserve"> that participants may decline any question, particularly on GBV or disability, without consequence.</w:t>
      </w:r>
    </w:p>
    <w:p w14:paraId="442AA518"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Trauma-informed &amp; survivor-</w:t>
      </w:r>
      <w:proofErr w:type="spellStart"/>
      <w:r w:rsidRPr="0000658E">
        <w:rPr>
          <w:rFonts w:ascii="Arial" w:eastAsia="Arial" w:hAnsi="Arial" w:cs="Arial"/>
        </w:rPr>
        <w:t>centred</w:t>
      </w:r>
      <w:proofErr w:type="spellEnd"/>
      <w:r w:rsidRPr="0000658E">
        <w:rPr>
          <w:rFonts w:ascii="Arial" w:eastAsia="Arial" w:hAnsi="Arial" w:cs="Arial"/>
        </w:rPr>
        <w:t xml:space="preserve"> approach receives basic training on psychological first aid and survivor-</w:t>
      </w:r>
      <w:proofErr w:type="spellStart"/>
      <w:r w:rsidRPr="0000658E">
        <w:rPr>
          <w:rFonts w:ascii="Arial" w:eastAsia="Arial" w:hAnsi="Arial" w:cs="Arial"/>
        </w:rPr>
        <w:t>centred</w:t>
      </w:r>
      <w:proofErr w:type="spellEnd"/>
      <w:r w:rsidRPr="0000658E">
        <w:rPr>
          <w:rFonts w:ascii="Arial" w:eastAsia="Arial" w:hAnsi="Arial" w:cs="Arial"/>
        </w:rPr>
        <w:t xml:space="preserve"> referrals, using an “only-if-she-opts-in” disclosure protocol.</w:t>
      </w:r>
    </w:p>
    <w:p w14:paraId="330C6309"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Gender specialist oversight: A qualified Gender &amp; GBV Specialist must sit on the core team to provide real-time ethical oversight.</w:t>
      </w:r>
    </w:p>
    <w:p w14:paraId="7D401786"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Female-only enumerator teams: All data collection involving women (including FGDs and life-history interviews) is conducted by trained female enumerators in a private, safe setting, where requested by the women and girls being interviewed.</w:t>
      </w:r>
    </w:p>
    <w:p w14:paraId="1ED365EB" w14:textId="77777777" w:rsidR="0000658E" w:rsidRPr="0000658E" w:rsidRDefault="0000658E" w:rsidP="0000658E">
      <w:pPr>
        <w:spacing w:after="60"/>
        <w:jc w:val="both"/>
        <w:rPr>
          <w:rFonts w:ascii="Arial" w:eastAsia="Arial" w:hAnsi="Arial" w:cs="Arial"/>
        </w:rPr>
      </w:pPr>
    </w:p>
    <w:p w14:paraId="2EF9B420" w14:textId="77777777" w:rsidR="0000658E" w:rsidRPr="0000658E" w:rsidRDefault="0000658E" w:rsidP="0000658E">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6. Key Deliverables &amp; Timeline</w:t>
      </w:r>
    </w:p>
    <w:p w14:paraId="3C7FFB9A"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Total duration: 45 working days from contract signing.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500"/>
        <w:gridCol w:w="4706"/>
        <w:gridCol w:w="1200"/>
      </w:tblGrid>
      <w:tr w:rsidR="0000658E" w:rsidRPr="0000658E" w14:paraId="3AD3C27B" w14:textId="77777777" w:rsidTr="001F629C">
        <w:trPr>
          <w:tblHeader/>
        </w:trPr>
        <w:tc>
          <w:tcPr>
            <w:tcW w:w="62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14E423D5"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b/>
                <w:bCs/>
                <w:color w:val="FFFFFF"/>
              </w:rPr>
              <w:t>#</w:t>
            </w:r>
          </w:p>
        </w:tc>
        <w:tc>
          <w:tcPr>
            <w:tcW w:w="25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0F3F508A"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color w:val="FFFFFF"/>
              </w:rPr>
              <w:t>Deliverable</w:t>
            </w:r>
          </w:p>
        </w:tc>
        <w:tc>
          <w:tcPr>
            <w:tcW w:w="4706"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0B016D6B"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color w:val="FFFFFF"/>
              </w:rPr>
              <w:t>Description</w:t>
            </w:r>
          </w:p>
        </w:tc>
        <w:tc>
          <w:tcPr>
            <w:tcW w:w="12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50CF4696"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b/>
                <w:bCs/>
                <w:color w:val="FFFFFF"/>
              </w:rPr>
              <w:t>Timeline</w:t>
            </w:r>
          </w:p>
        </w:tc>
      </w:tr>
      <w:tr w:rsidR="0000658E" w:rsidRPr="0000658E" w14:paraId="11AFCF83" w14:textId="77777777" w:rsidTr="001F629C">
        <w:tc>
          <w:tcPr>
            <w:tcW w:w="62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68D8C84A"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1</w:t>
            </w:r>
          </w:p>
        </w:tc>
        <w:tc>
          <w:tcPr>
            <w:tcW w:w="2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5F88B664"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Inception Report</w:t>
            </w:r>
          </w:p>
        </w:tc>
        <w:tc>
          <w:tcPr>
            <w:tcW w:w="4706"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1ACA0FAB" w14:textId="3D9D2956" w:rsidR="0000658E" w:rsidRPr="0000658E" w:rsidRDefault="0000658E" w:rsidP="0000658E">
            <w:pPr>
              <w:spacing w:after="0" w:line="264" w:lineRule="auto"/>
              <w:jc w:val="both"/>
              <w:rPr>
                <w:rFonts w:ascii="Arial" w:eastAsia="Arial" w:hAnsi="Arial" w:cs="Arial"/>
              </w:rPr>
            </w:pPr>
            <w:r w:rsidRPr="0000658E">
              <w:rPr>
                <w:rFonts w:ascii="Arial" w:eastAsia="Arial" w:hAnsi="Arial" w:cs="Arial"/>
              </w:rPr>
              <w:t xml:space="preserve">Includes a standalone Gender Analysis Framework, a </w:t>
            </w:r>
            <w:r w:rsidR="00EB2FDF" w:rsidRPr="0000658E">
              <w:rPr>
                <w:rFonts w:ascii="Arial" w:eastAsia="Arial" w:hAnsi="Arial" w:cs="Arial"/>
              </w:rPr>
              <w:t>finalized</w:t>
            </w:r>
            <w:r w:rsidRPr="0000658E">
              <w:rPr>
                <w:rFonts w:ascii="Arial" w:eastAsia="Arial" w:hAnsi="Arial" w:cs="Arial"/>
              </w:rPr>
              <w:t xml:space="preserve"> EVI draft with gender indicators, a GBV risk-mitigation map, and the proposed approach for piloting the EVI, </w:t>
            </w:r>
            <w:r w:rsidRPr="0000658E">
              <w:rPr>
                <w:rFonts w:ascii="Arial" w:eastAsia="Arial" w:hAnsi="Arial" w:cs="Arial"/>
              </w:rPr>
              <w:lastRenderedPageBreak/>
              <w:t>engaging the private sector, and tracking the graduate cohort.</w:t>
            </w:r>
          </w:p>
        </w:tc>
        <w:tc>
          <w:tcPr>
            <w:tcW w:w="1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54C7D7D4"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lastRenderedPageBreak/>
              <w:t>7 days</w:t>
            </w:r>
          </w:p>
        </w:tc>
      </w:tr>
      <w:tr w:rsidR="0000658E" w:rsidRPr="0000658E" w14:paraId="72D360B6" w14:textId="77777777" w:rsidTr="001F629C">
        <w:tc>
          <w:tcPr>
            <w:tcW w:w="62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20B892DC"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2</w:t>
            </w:r>
          </w:p>
        </w:tc>
        <w:tc>
          <w:tcPr>
            <w:tcW w:w="25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63E6B339"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Preliminary Findings Presentation</w:t>
            </w:r>
          </w:p>
        </w:tc>
        <w:tc>
          <w:tcPr>
            <w:tcW w:w="4706"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24767F7B" w14:textId="77777777" w:rsidR="0000658E" w:rsidRPr="0000658E" w:rsidRDefault="0000658E" w:rsidP="0000658E">
            <w:pPr>
              <w:spacing w:after="0" w:line="264" w:lineRule="auto"/>
              <w:jc w:val="both"/>
              <w:rPr>
                <w:rFonts w:ascii="Arial" w:eastAsia="Arial" w:hAnsi="Arial" w:cs="Arial"/>
              </w:rPr>
            </w:pPr>
            <w:r w:rsidRPr="0000658E">
              <w:rPr>
                <w:rFonts w:ascii="Arial" w:eastAsia="Arial" w:hAnsi="Arial" w:cs="Arial"/>
              </w:rPr>
              <w:t>Slides leading with gender–disability intersectional findings as the primary analytical lens, before single-axis data.</w:t>
            </w:r>
          </w:p>
        </w:tc>
        <w:tc>
          <w:tcPr>
            <w:tcW w:w="12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71054921"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28 days</w:t>
            </w:r>
          </w:p>
        </w:tc>
      </w:tr>
      <w:tr w:rsidR="0000658E" w:rsidRPr="0000658E" w14:paraId="1D0E0903" w14:textId="77777777" w:rsidTr="001F629C">
        <w:tc>
          <w:tcPr>
            <w:tcW w:w="62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32320B59"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3</w:t>
            </w:r>
          </w:p>
        </w:tc>
        <w:tc>
          <w:tcPr>
            <w:tcW w:w="2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44EA1818"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Draft Assessment Report</w:t>
            </w:r>
          </w:p>
        </w:tc>
        <w:tc>
          <w:tcPr>
            <w:tcW w:w="4706"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63AB247D" w14:textId="1AD99D20" w:rsidR="0000658E" w:rsidRPr="0000658E" w:rsidRDefault="0000658E" w:rsidP="00465F26">
            <w:pPr>
              <w:spacing w:after="0" w:line="264" w:lineRule="auto"/>
              <w:jc w:val="both"/>
              <w:rPr>
                <w:rFonts w:ascii="Arial" w:eastAsia="Arial" w:hAnsi="Arial" w:cs="Arial"/>
              </w:rPr>
            </w:pPr>
            <w:r w:rsidRPr="0000658E">
              <w:rPr>
                <w:rFonts w:ascii="Arial" w:eastAsia="Arial" w:hAnsi="Arial" w:cs="Arial"/>
              </w:rPr>
              <w:t xml:space="preserve">Includes a dedicated chapter on the gendered dynamics of intersectional vulnerability, with intersectional, regional and </w:t>
            </w:r>
            <w:r w:rsidR="00465F26" w:rsidRPr="0000658E">
              <w:rPr>
                <w:rFonts w:ascii="Arial" w:eastAsia="Arial" w:hAnsi="Arial" w:cs="Arial"/>
              </w:rPr>
              <w:t>sector</w:t>
            </w:r>
            <w:r w:rsidRPr="0000658E">
              <w:rPr>
                <w:rFonts w:ascii="Arial" w:eastAsia="Arial" w:hAnsi="Arial" w:cs="Arial"/>
              </w:rPr>
              <w:t xml:space="preserve"> comparisons.</w:t>
            </w:r>
          </w:p>
        </w:tc>
        <w:tc>
          <w:tcPr>
            <w:tcW w:w="1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37A3AC19"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38 days</w:t>
            </w:r>
          </w:p>
        </w:tc>
      </w:tr>
      <w:tr w:rsidR="0000658E" w:rsidRPr="0000658E" w14:paraId="47A7155D" w14:textId="77777777" w:rsidTr="001F629C">
        <w:tc>
          <w:tcPr>
            <w:tcW w:w="62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3E7C67F8"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4</w:t>
            </w:r>
          </w:p>
        </w:tc>
        <w:tc>
          <w:tcPr>
            <w:tcW w:w="25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45AD718E"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Final Report, Action Matrix &amp; Refined Roadmap</w:t>
            </w:r>
          </w:p>
        </w:tc>
        <w:tc>
          <w:tcPr>
            <w:tcW w:w="4706"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29EA33F9"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A concise policy brief with targeted recommendations for TVET, partners and ministries; an Action Matrix linking vulnerabilities to a theory of change for gender equality; and the reviewed, refined Gender and Disability Inclusion Roadmap based on the findings.</w:t>
            </w:r>
          </w:p>
        </w:tc>
        <w:tc>
          <w:tcPr>
            <w:tcW w:w="12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18D893B4" w14:textId="77777777" w:rsidR="0000658E" w:rsidRPr="0000658E" w:rsidRDefault="0000658E" w:rsidP="0000658E">
            <w:pPr>
              <w:spacing w:after="0" w:line="264" w:lineRule="auto"/>
              <w:jc w:val="center"/>
              <w:rPr>
                <w:rFonts w:ascii="Arial" w:eastAsia="Arial" w:hAnsi="Arial" w:cs="Arial"/>
              </w:rPr>
            </w:pPr>
            <w:r w:rsidRPr="0000658E">
              <w:rPr>
                <w:rFonts w:ascii="Arial" w:eastAsia="Arial" w:hAnsi="Arial" w:cs="Arial"/>
              </w:rPr>
              <w:t>45 days</w:t>
            </w:r>
          </w:p>
        </w:tc>
      </w:tr>
    </w:tbl>
    <w:p w14:paraId="37D051FE" w14:textId="02C831DE" w:rsidR="0000658E" w:rsidRPr="007A1D40" w:rsidRDefault="0000658E" w:rsidP="007A1D40">
      <w:pPr>
        <w:spacing w:before="280" w:after="140" w:line="240" w:lineRule="auto"/>
        <w:outlineLvl w:val="0"/>
        <w:rPr>
          <w:rFonts w:ascii="Arial" w:eastAsia="Arial" w:hAnsi="Arial" w:cs="Arial"/>
          <w:b/>
          <w:bCs/>
          <w:color w:val="1F4E79"/>
          <w:sz w:val="28"/>
          <w:szCs w:val="28"/>
          <w:highlight w:val="yellow"/>
        </w:rPr>
      </w:pPr>
      <w:r w:rsidRPr="0000658E">
        <w:rPr>
          <w:rFonts w:ascii="Arial" w:eastAsia="Arial" w:hAnsi="Arial" w:cs="Arial"/>
          <w:b/>
          <w:bCs/>
          <w:color w:val="1F4E79"/>
          <w:sz w:val="28"/>
          <w:szCs w:val="28"/>
        </w:rPr>
        <w:t xml:space="preserve">7. </w:t>
      </w:r>
      <w:r w:rsidRPr="00B35F1B">
        <w:rPr>
          <w:rFonts w:ascii="Arial" w:eastAsia="Arial" w:hAnsi="Arial" w:cs="Arial"/>
          <w:b/>
          <w:bCs/>
          <w:color w:val="1F4E79"/>
          <w:sz w:val="28"/>
          <w:szCs w:val="28"/>
        </w:rPr>
        <w:t xml:space="preserve">Qualifications &amp; Experience of the </w:t>
      </w:r>
      <w:r w:rsidR="00AE52A2" w:rsidRPr="00B35F1B">
        <w:rPr>
          <w:rFonts w:ascii="Arial" w:eastAsia="Arial" w:hAnsi="Arial" w:cs="Arial"/>
          <w:b/>
          <w:bCs/>
          <w:color w:val="1F4E79"/>
          <w:sz w:val="28"/>
          <w:szCs w:val="28"/>
        </w:rPr>
        <w:t>F</w:t>
      </w:r>
      <w:r w:rsidR="00DD46D3" w:rsidRPr="00B35F1B">
        <w:rPr>
          <w:rFonts w:ascii="Arial" w:eastAsia="Arial" w:hAnsi="Arial" w:cs="Arial"/>
          <w:b/>
          <w:bCs/>
          <w:color w:val="1F4E79"/>
          <w:sz w:val="28"/>
          <w:szCs w:val="28"/>
        </w:rPr>
        <w:t xml:space="preserve">irm </w:t>
      </w:r>
      <w:r w:rsidRPr="00B35F1B">
        <w:rPr>
          <w:rFonts w:ascii="Arial" w:eastAsia="Arial" w:hAnsi="Arial" w:cs="Arial"/>
          <w:b/>
          <w:bCs/>
          <w:color w:val="1F4E79"/>
          <w:sz w:val="28"/>
          <w:szCs w:val="28"/>
        </w:rPr>
        <w:t>Consultant</w:t>
      </w:r>
      <w:r w:rsidR="00AE52A2" w:rsidRPr="00B35F1B">
        <w:rPr>
          <w:rFonts w:ascii="Arial" w:eastAsia="Arial" w:hAnsi="Arial" w:cs="Arial"/>
          <w:b/>
          <w:bCs/>
          <w:color w:val="1F4E79"/>
          <w:sz w:val="28"/>
          <w:szCs w:val="28"/>
        </w:rPr>
        <w: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313"/>
        <w:gridCol w:w="3313"/>
      </w:tblGrid>
      <w:tr w:rsidR="0000658E" w:rsidRPr="0000658E" w14:paraId="4689AC38" w14:textId="77777777" w:rsidTr="001F629C">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4DE65311"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color w:val="FFFFFF"/>
              </w:rPr>
              <w:t>Requirement</w:t>
            </w:r>
          </w:p>
        </w:tc>
        <w:tc>
          <w:tcPr>
            <w:tcW w:w="3313"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180D8C31"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color w:val="FFFFFF"/>
              </w:rPr>
              <w:t>Essential</w:t>
            </w:r>
          </w:p>
        </w:tc>
        <w:tc>
          <w:tcPr>
            <w:tcW w:w="3313"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5AC8058C"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color w:val="FFFFFF"/>
              </w:rPr>
              <w:t>Desirable</w:t>
            </w:r>
          </w:p>
        </w:tc>
      </w:tr>
      <w:tr w:rsidR="0000658E" w:rsidRPr="0000658E" w14:paraId="30E8CC03" w14:textId="77777777" w:rsidTr="001F629C">
        <w:tc>
          <w:tcPr>
            <w:tcW w:w="2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2AA0AA73"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Experience</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70B7C9E7" w14:textId="77777777" w:rsidR="0000658E" w:rsidRPr="0000658E" w:rsidRDefault="0000658E" w:rsidP="0011090D">
            <w:pPr>
              <w:spacing w:after="0" w:line="264" w:lineRule="auto"/>
              <w:jc w:val="both"/>
              <w:rPr>
                <w:rFonts w:ascii="Arial" w:eastAsia="Arial" w:hAnsi="Arial" w:cs="Arial"/>
              </w:rPr>
            </w:pPr>
            <w:r w:rsidRPr="0000658E">
              <w:rPr>
                <w:rFonts w:ascii="Arial" w:eastAsia="Arial" w:hAnsi="Arial" w:cs="Arial"/>
              </w:rPr>
              <w:t xml:space="preserve">Minimum 8 years leading complex, gender-sensitive or feminist </w:t>
            </w:r>
            <w:proofErr w:type="spellStart"/>
            <w:r w:rsidRPr="0000658E">
              <w:rPr>
                <w:rFonts w:ascii="Arial" w:eastAsia="Arial" w:hAnsi="Arial" w:cs="Arial"/>
              </w:rPr>
              <w:t>labour</w:t>
            </w:r>
            <w:proofErr w:type="spellEnd"/>
            <w:r w:rsidRPr="0000658E">
              <w:rPr>
                <w:rFonts w:ascii="Arial" w:eastAsia="Arial" w:hAnsi="Arial" w:cs="Arial"/>
              </w:rPr>
              <w:t>-market and vulnerability assessments in Fragile and Conflict-Affected States (FCAS). Experience in Somalia or comparable Horn of Africa contexts strongly preferred.</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55C991BC" w14:textId="27155FBD" w:rsidR="0000658E" w:rsidRPr="0000658E" w:rsidRDefault="0000658E" w:rsidP="009D703C">
            <w:pPr>
              <w:spacing w:after="0" w:line="264" w:lineRule="auto"/>
              <w:jc w:val="both"/>
              <w:rPr>
                <w:rFonts w:ascii="Arial" w:eastAsia="Arial" w:hAnsi="Arial" w:cs="Arial"/>
              </w:rPr>
            </w:pPr>
            <w:r w:rsidRPr="0000658E">
              <w:rPr>
                <w:rFonts w:ascii="Arial" w:eastAsia="Arial" w:hAnsi="Arial" w:cs="Arial"/>
              </w:rPr>
              <w:t xml:space="preserve">Proven experience </w:t>
            </w:r>
            <w:r w:rsidR="009D703C" w:rsidRPr="0000658E">
              <w:rPr>
                <w:rFonts w:ascii="Arial" w:eastAsia="Arial" w:hAnsi="Arial" w:cs="Arial"/>
              </w:rPr>
              <w:t>operationalizing</w:t>
            </w:r>
            <w:r w:rsidRPr="0000658E">
              <w:rPr>
                <w:rFonts w:ascii="Arial" w:eastAsia="Arial" w:hAnsi="Arial" w:cs="Arial"/>
              </w:rPr>
              <w:t xml:space="preserve"> a gender lens in the green economy, including informal sectors (waste picking, circular economy).</w:t>
            </w:r>
          </w:p>
        </w:tc>
      </w:tr>
      <w:tr w:rsidR="0000658E" w:rsidRPr="0000658E" w14:paraId="04DBD1A7" w14:textId="77777777" w:rsidTr="001F629C">
        <w:tc>
          <w:tcPr>
            <w:tcW w:w="24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6DE76C73"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Technical expertise</w:t>
            </w:r>
          </w:p>
        </w:tc>
        <w:tc>
          <w:tcPr>
            <w:tcW w:w="3313"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62385E0D"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Strong track record in gender–disability intersectional research, explicitly using a feminist analytical framework (evident in past reports).</w:t>
            </w:r>
          </w:p>
        </w:tc>
        <w:tc>
          <w:tcPr>
            <w:tcW w:w="3313"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277D16AE" w14:textId="77777777" w:rsidR="0000658E" w:rsidRPr="0000658E" w:rsidRDefault="0000658E" w:rsidP="0011090D">
            <w:pPr>
              <w:spacing w:after="0" w:line="264" w:lineRule="auto"/>
              <w:jc w:val="both"/>
              <w:rPr>
                <w:rFonts w:ascii="Arial" w:eastAsia="Arial" w:hAnsi="Arial" w:cs="Arial"/>
              </w:rPr>
            </w:pPr>
            <w:r w:rsidRPr="0000658E">
              <w:rPr>
                <w:rFonts w:ascii="Arial" w:eastAsia="Arial" w:hAnsi="Arial" w:cs="Arial"/>
              </w:rPr>
              <w:t>Publications on women’s economic empowerment, GBV in the workplace, or the care economy.</w:t>
            </w:r>
          </w:p>
        </w:tc>
      </w:tr>
      <w:tr w:rsidR="0000658E" w:rsidRPr="0000658E" w14:paraId="6C944ADB" w14:textId="77777777" w:rsidTr="001F629C">
        <w:tc>
          <w:tcPr>
            <w:tcW w:w="2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0006AF3D"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Methodological skills</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1B7D7A26"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Expertise in designing and leading safe, ethical qualitative research with women who have experienced GBV and persons with diverse disabilities.</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37C3C61E"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Experience developing quantitative indices that measure gendered constructs such as empowerment or GBV risk.</w:t>
            </w:r>
          </w:p>
        </w:tc>
      </w:tr>
      <w:tr w:rsidR="0000658E" w:rsidRPr="0000658E" w14:paraId="36CCC92F" w14:textId="77777777" w:rsidTr="001F629C">
        <w:tc>
          <w:tcPr>
            <w:tcW w:w="2400"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1008AB39"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Language</w:t>
            </w:r>
          </w:p>
        </w:tc>
        <w:tc>
          <w:tcPr>
            <w:tcW w:w="3313"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379D6055"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Fluency in English (written and spoken).</w:t>
            </w:r>
          </w:p>
        </w:tc>
        <w:tc>
          <w:tcPr>
            <w:tcW w:w="3313" w:type="dxa"/>
            <w:tcBorders>
              <w:top w:val="single" w:sz="4" w:space="0" w:color="BFBFBF"/>
              <w:left w:val="single" w:sz="4" w:space="0" w:color="BFBFBF"/>
              <w:bottom w:val="single" w:sz="4" w:space="0" w:color="BFBFBF"/>
              <w:right w:val="single" w:sz="4" w:space="0" w:color="BFBFBF"/>
            </w:tcBorders>
            <w:shd w:val="clear" w:color="auto" w:fill="F2F6FB"/>
            <w:tcMar>
              <w:top w:w="60" w:type="dxa"/>
              <w:left w:w="110" w:type="dxa"/>
              <w:bottom w:w="60" w:type="dxa"/>
              <w:right w:w="110" w:type="dxa"/>
            </w:tcMar>
            <w:vAlign w:val="center"/>
          </w:tcPr>
          <w:p w14:paraId="2B856051"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Somali language proficiency (a strong asset).</w:t>
            </w:r>
          </w:p>
        </w:tc>
      </w:tr>
      <w:tr w:rsidR="0000658E" w:rsidRPr="0000658E" w14:paraId="04B9D854" w14:textId="77777777" w:rsidTr="001F629C">
        <w:tc>
          <w:tcPr>
            <w:tcW w:w="2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694EEE08"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b/>
                <w:bCs/>
              </w:rPr>
              <w:t>Ethical credentials</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140EA092"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t xml:space="preserve">Demonstrable, certified experience in ethical research </w:t>
            </w:r>
            <w:r w:rsidRPr="0000658E">
              <w:rPr>
                <w:rFonts w:ascii="Arial" w:eastAsia="Arial" w:hAnsi="Arial" w:cs="Arial"/>
              </w:rPr>
              <w:lastRenderedPageBreak/>
              <w:t>with vulnerable populations, including survivor-</w:t>
            </w:r>
            <w:proofErr w:type="spellStart"/>
            <w:r w:rsidRPr="0000658E">
              <w:rPr>
                <w:rFonts w:ascii="Arial" w:eastAsia="Arial" w:hAnsi="Arial" w:cs="Arial"/>
              </w:rPr>
              <w:t>centred</w:t>
            </w:r>
            <w:proofErr w:type="spellEnd"/>
            <w:r w:rsidRPr="0000658E">
              <w:rPr>
                <w:rFonts w:ascii="Arial" w:eastAsia="Arial" w:hAnsi="Arial" w:cs="Arial"/>
              </w:rPr>
              <w:t xml:space="preserve"> approaches and PSEA.</w:t>
            </w:r>
          </w:p>
        </w:tc>
        <w:tc>
          <w:tcPr>
            <w:tcW w:w="3313"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1032B797" w14:textId="77777777" w:rsidR="0000658E" w:rsidRPr="0000658E" w:rsidRDefault="0000658E" w:rsidP="0000658E">
            <w:pPr>
              <w:spacing w:after="0" w:line="264" w:lineRule="auto"/>
              <w:rPr>
                <w:rFonts w:ascii="Arial" w:eastAsia="Arial" w:hAnsi="Arial" w:cs="Arial"/>
              </w:rPr>
            </w:pPr>
            <w:r w:rsidRPr="0000658E">
              <w:rPr>
                <w:rFonts w:ascii="Arial" w:eastAsia="Arial" w:hAnsi="Arial" w:cs="Arial"/>
              </w:rPr>
              <w:lastRenderedPageBreak/>
              <w:t xml:space="preserve">Certification in the Inter-Agency Minimum Standards for GBV </w:t>
            </w:r>
            <w:r w:rsidRPr="0000658E">
              <w:rPr>
                <w:rFonts w:ascii="Arial" w:eastAsia="Arial" w:hAnsi="Arial" w:cs="Arial"/>
              </w:rPr>
              <w:lastRenderedPageBreak/>
              <w:t>Programming, the GBV Pocket Guide, or equivalent trauma-informed GBV responder training.</w:t>
            </w:r>
          </w:p>
        </w:tc>
      </w:tr>
    </w:tbl>
    <w:p w14:paraId="68ACB208" w14:textId="77777777" w:rsidR="0000658E" w:rsidRPr="0000658E" w:rsidRDefault="0000658E" w:rsidP="0000658E">
      <w:pPr>
        <w:spacing w:before="160" w:after="80"/>
        <w:jc w:val="both"/>
        <w:rPr>
          <w:rFonts w:ascii="Arial" w:eastAsia="Arial" w:hAnsi="Arial" w:cs="Arial"/>
        </w:rPr>
      </w:pPr>
      <w:r w:rsidRPr="0000658E">
        <w:rPr>
          <w:rFonts w:ascii="Arial" w:eastAsia="Arial" w:hAnsi="Arial" w:cs="Arial"/>
          <w:b/>
          <w:bCs/>
        </w:rPr>
        <w:lastRenderedPageBreak/>
        <w:t>Team Composition (Recommended)</w:t>
      </w:r>
    </w:p>
    <w:p w14:paraId="4436BA7E"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Team Lead — qualifications as above, with proven women/GESI leadership.</w:t>
      </w:r>
    </w:p>
    <w:p w14:paraId="029D4899" w14:textId="7430916A"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Gender &amp; GBV Specialist — a senior Somali national or international expert with deep expertise in gender analysis, GBV prevention/response, and women’s economic rights in the Somali context.</w:t>
      </w:r>
    </w:p>
    <w:p w14:paraId="66F6BA5F"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Disability Inclusion Specialist with demonstrated experience addressing the needs of women and girls with disabilities, including intellectual and psychosocial disabilities (</w:t>
      </w:r>
      <w:proofErr w:type="gramStart"/>
      <w:r w:rsidRPr="0000658E">
        <w:rPr>
          <w:rFonts w:ascii="Arial" w:eastAsia="Arial" w:hAnsi="Arial" w:cs="Arial"/>
        </w:rPr>
        <w:t>not only physical</w:t>
      </w:r>
      <w:proofErr w:type="gramEnd"/>
      <w:r w:rsidRPr="0000658E">
        <w:rPr>
          <w:rFonts w:ascii="Arial" w:eastAsia="Arial" w:hAnsi="Arial" w:cs="Arial"/>
        </w:rPr>
        <w:t>).</w:t>
      </w:r>
    </w:p>
    <w:p w14:paraId="2258AF79"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Quantitative Data Analyst skilled in disaggregating data by multiple axes and running intersectional analysis.</w:t>
      </w:r>
    </w:p>
    <w:p w14:paraId="49264DF4" w14:textId="0E6D1BA2" w:rsidR="0000658E" w:rsidRPr="0000658E" w:rsidRDefault="0000658E" w:rsidP="00A334B3">
      <w:pPr>
        <w:spacing w:before="280" w:after="140" w:line="240" w:lineRule="auto"/>
        <w:outlineLvl w:val="0"/>
        <w:rPr>
          <w:rFonts w:ascii="Arial" w:eastAsia="Arial" w:hAnsi="Arial" w:cs="Arial"/>
          <w:b/>
          <w:bCs/>
          <w:color w:val="1F4E79"/>
          <w:sz w:val="28"/>
          <w:szCs w:val="28"/>
        </w:rPr>
      </w:pPr>
      <w:r w:rsidRPr="0000658E">
        <w:rPr>
          <w:rFonts w:ascii="Arial" w:eastAsia="Arial" w:hAnsi="Arial" w:cs="Arial"/>
          <w:b/>
          <w:bCs/>
          <w:color w:val="1F4E79"/>
          <w:sz w:val="28"/>
          <w:szCs w:val="28"/>
        </w:rPr>
        <w:t>9. Application Procedure</w:t>
      </w:r>
    </w:p>
    <w:p w14:paraId="5D8960C8" w14:textId="77777777" w:rsidR="0000658E" w:rsidRPr="0000658E" w:rsidRDefault="0000658E" w:rsidP="0000658E">
      <w:pPr>
        <w:spacing w:after="120"/>
        <w:jc w:val="both"/>
        <w:rPr>
          <w:rFonts w:ascii="Arial" w:eastAsia="Arial" w:hAnsi="Arial" w:cs="Arial"/>
        </w:rPr>
      </w:pPr>
      <w:r w:rsidRPr="0000658E">
        <w:rPr>
          <w:rFonts w:ascii="Arial" w:eastAsia="Arial" w:hAnsi="Arial" w:cs="Arial"/>
        </w:rPr>
        <w:t>Interested and qualified consultants or firms should submit the following in one PDF file:</w:t>
      </w:r>
    </w:p>
    <w:p w14:paraId="7A52BC02"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Technical Proposal (max 12 pages): understanding of the assignment; detailed methodology including the EVI development approach with sample gender-sensitive indicators; a Gender Analysis Framework; an ethical and accessibility protocol detailing GBV risk mitigation and survivor-</w:t>
      </w:r>
      <w:proofErr w:type="spellStart"/>
      <w:r w:rsidRPr="0000658E">
        <w:rPr>
          <w:rFonts w:ascii="Arial" w:eastAsia="Arial" w:hAnsi="Arial" w:cs="Arial"/>
        </w:rPr>
        <w:t>centred</w:t>
      </w:r>
      <w:proofErr w:type="spellEnd"/>
      <w:r w:rsidRPr="0000658E">
        <w:rPr>
          <w:rFonts w:ascii="Arial" w:eastAsia="Arial" w:hAnsi="Arial" w:cs="Arial"/>
        </w:rPr>
        <w:t xml:space="preserve"> referral; a work plan (Gantt chart); team composition highlighting the Gender &amp; GBV Specialist; and two examples of previous relevant reports.</w:t>
      </w:r>
    </w:p>
    <w:p w14:paraId="53039362" w14:textId="01EEB336"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Financial Proposal (in </w:t>
      </w:r>
      <w:r w:rsidR="003C1C2F" w:rsidRPr="0000658E">
        <w:rPr>
          <w:rFonts w:ascii="Arial" w:eastAsia="Arial" w:hAnsi="Arial" w:cs="Arial"/>
        </w:rPr>
        <w:t>USD)</w:t>
      </w:r>
      <w:r w:rsidRPr="0000658E">
        <w:rPr>
          <w:rFonts w:ascii="Arial" w:eastAsia="Arial" w:hAnsi="Arial" w:cs="Arial"/>
        </w:rPr>
        <w:t xml:space="preserve">: professional fees (daily rates × days per team member, including the Gender &amp; GBV Specialist); data-collection costs reflecting sex-segregated FGDs and female-only enumerator </w:t>
      </w:r>
      <w:r w:rsidR="003C1C2F" w:rsidRPr="0000658E">
        <w:rPr>
          <w:rFonts w:ascii="Arial" w:eastAsia="Arial" w:hAnsi="Arial" w:cs="Arial"/>
        </w:rPr>
        <w:t>teams and</w:t>
      </w:r>
      <w:r w:rsidRPr="0000658E">
        <w:rPr>
          <w:rFonts w:ascii="Arial" w:eastAsia="Arial" w:hAnsi="Arial" w:cs="Arial"/>
        </w:rPr>
        <w:t xml:space="preserve"> travel and accommodation across target regions.</w:t>
      </w:r>
    </w:p>
    <w:p w14:paraId="4B39FDC7" w14:textId="2008E392"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 xml:space="preserve">CVs of all proposed team members (max 3 pages each), clearly </w:t>
      </w:r>
      <w:r w:rsidR="003C1C2F" w:rsidRPr="0000658E">
        <w:rPr>
          <w:rFonts w:ascii="Arial" w:eastAsia="Arial" w:hAnsi="Arial" w:cs="Arial"/>
        </w:rPr>
        <w:t>indicate</w:t>
      </w:r>
      <w:r w:rsidRPr="0000658E">
        <w:rPr>
          <w:rFonts w:ascii="Arial" w:eastAsia="Arial" w:hAnsi="Arial" w:cs="Arial"/>
        </w:rPr>
        <w:t xml:space="preserve"> the Gender &amp; GBV Specialist.</w:t>
      </w:r>
    </w:p>
    <w:p w14:paraId="0AC999B5" w14:textId="77777777" w:rsidR="0000658E" w:rsidRPr="0000658E" w:rsidRDefault="0000658E" w:rsidP="0000658E">
      <w:pPr>
        <w:numPr>
          <w:ilvl w:val="0"/>
          <w:numId w:val="13"/>
        </w:numPr>
        <w:spacing w:after="60" w:line="240" w:lineRule="auto"/>
        <w:jc w:val="both"/>
        <w:rPr>
          <w:rFonts w:ascii="Arial" w:eastAsia="Arial" w:hAnsi="Arial" w:cs="Arial"/>
        </w:rPr>
      </w:pPr>
      <w:r w:rsidRPr="0000658E">
        <w:rPr>
          <w:rFonts w:ascii="Arial" w:eastAsia="Arial" w:hAnsi="Arial" w:cs="Arial"/>
        </w:rPr>
        <w:t>Cover letter (max 2 pages) confirming availability for the full 45-working-day period, no conflict of interest with IMPACT consortium partners, and a statement of commitment to Gender and survivor-</w:t>
      </w:r>
      <w:proofErr w:type="spellStart"/>
      <w:r w:rsidRPr="0000658E">
        <w:rPr>
          <w:rFonts w:ascii="Arial" w:eastAsia="Arial" w:hAnsi="Arial" w:cs="Arial"/>
        </w:rPr>
        <w:t>centred</w:t>
      </w:r>
      <w:proofErr w:type="spellEnd"/>
      <w:r w:rsidRPr="0000658E">
        <w:rPr>
          <w:rFonts w:ascii="Arial" w:eastAsia="Arial" w:hAnsi="Arial" w:cs="Arial"/>
        </w:rPr>
        <w:t xml:space="preserve"> research principles.</w:t>
      </w:r>
    </w:p>
    <w:p w14:paraId="14DDA0DE" w14:textId="13D81B4D" w:rsidR="00C67662" w:rsidRPr="00CA135E" w:rsidRDefault="00C67662" w:rsidP="00C67662">
      <w:pPr>
        <w:autoSpaceDE w:val="0"/>
        <w:autoSpaceDN w:val="0"/>
        <w:adjustRightInd w:val="0"/>
        <w:spacing w:after="0"/>
        <w:jc w:val="both"/>
        <w:rPr>
          <w:rFonts w:ascii="Times New Roman" w:hAnsi="Times New Roman"/>
          <w:b/>
          <w:bCs/>
        </w:rPr>
      </w:pPr>
    </w:p>
    <w:sectPr w:rsidR="00C67662" w:rsidRPr="00CA135E" w:rsidSect="00C33407">
      <w:headerReference w:type="default" r:id="rId16"/>
      <w:footerReference w:type="default" r:id="rId17"/>
      <w:pgSz w:w="12240" w:h="15840"/>
      <w:pgMar w:top="0"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CC58" w14:textId="77777777" w:rsidR="009F34D7" w:rsidRDefault="009F34D7" w:rsidP="00B92FE6">
      <w:pPr>
        <w:spacing w:after="0" w:line="240" w:lineRule="auto"/>
      </w:pPr>
      <w:r>
        <w:separator/>
      </w:r>
    </w:p>
  </w:endnote>
  <w:endnote w:type="continuationSeparator" w:id="0">
    <w:p w14:paraId="593D7258" w14:textId="77777777" w:rsidR="009F34D7" w:rsidRDefault="009F34D7" w:rsidP="00B92FE6">
      <w:pPr>
        <w:spacing w:after="0" w:line="240" w:lineRule="auto"/>
      </w:pPr>
      <w:r>
        <w:continuationSeparator/>
      </w:r>
    </w:p>
  </w:endnote>
  <w:endnote w:type="continuationNotice" w:id="1">
    <w:p w14:paraId="51565038" w14:textId="77777777" w:rsidR="009F34D7" w:rsidRDefault="009F3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C843" w14:textId="77777777" w:rsidR="009F34D7" w:rsidRDefault="009F34D7" w:rsidP="00B92FE6">
      <w:pPr>
        <w:spacing w:after="0" w:line="240" w:lineRule="auto"/>
      </w:pPr>
      <w:bookmarkStart w:id="0" w:name="_Hlk189997234"/>
      <w:bookmarkEnd w:id="0"/>
      <w:r>
        <w:separator/>
      </w:r>
    </w:p>
  </w:footnote>
  <w:footnote w:type="continuationSeparator" w:id="0">
    <w:p w14:paraId="69F7AC4D" w14:textId="77777777" w:rsidR="009F34D7" w:rsidRDefault="009F34D7" w:rsidP="00B92FE6">
      <w:pPr>
        <w:spacing w:after="0" w:line="240" w:lineRule="auto"/>
      </w:pPr>
      <w:r>
        <w:continuationSeparator/>
      </w:r>
    </w:p>
  </w:footnote>
  <w:footnote w:type="continuationNotice" w:id="1">
    <w:p w14:paraId="7892A207" w14:textId="77777777" w:rsidR="009F34D7" w:rsidRDefault="009F34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4D88B49F"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1412124113" name="Picture 14121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3D"/>
    <w:multiLevelType w:val="hybridMultilevel"/>
    <w:tmpl w:val="0E029E06"/>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B415E7"/>
    <w:multiLevelType w:val="hybridMultilevel"/>
    <w:tmpl w:val="F4F852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C13B2"/>
    <w:multiLevelType w:val="hybridMultilevel"/>
    <w:tmpl w:val="4FA86F8A"/>
    <w:lvl w:ilvl="0" w:tplc="6922BC5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A5D06"/>
    <w:multiLevelType w:val="hybridMultilevel"/>
    <w:tmpl w:val="ECC02A4A"/>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 w15:restartNumberingAfterBreak="0">
    <w:nsid w:val="2BA93141"/>
    <w:multiLevelType w:val="hybridMultilevel"/>
    <w:tmpl w:val="857698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AD090F"/>
    <w:multiLevelType w:val="hybridMultilevel"/>
    <w:tmpl w:val="C5ACE774"/>
    <w:lvl w:ilvl="0" w:tplc="4ED262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B3CCD"/>
    <w:multiLevelType w:val="hybridMultilevel"/>
    <w:tmpl w:val="7EB4472A"/>
    <w:lvl w:ilvl="0" w:tplc="7B98EF12">
      <w:start w:val="1"/>
      <w:numFmt w:val="bullet"/>
      <w:lvlText w:val=""/>
      <w:lvlJc w:val="left"/>
      <w:pPr>
        <w:ind w:left="1080" w:hanging="360"/>
      </w:pPr>
      <w:rPr>
        <w:rFonts w:ascii="Symbol" w:hAnsi="Symbol"/>
      </w:rPr>
    </w:lvl>
    <w:lvl w:ilvl="1" w:tplc="41663514">
      <w:start w:val="1"/>
      <w:numFmt w:val="bullet"/>
      <w:lvlText w:val=""/>
      <w:lvlJc w:val="left"/>
      <w:pPr>
        <w:ind w:left="1080" w:hanging="360"/>
      </w:pPr>
      <w:rPr>
        <w:rFonts w:ascii="Symbol" w:hAnsi="Symbol"/>
      </w:rPr>
    </w:lvl>
    <w:lvl w:ilvl="2" w:tplc="C5E44A10">
      <w:start w:val="1"/>
      <w:numFmt w:val="bullet"/>
      <w:lvlText w:val=""/>
      <w:lvlJc w:val="left"/>
      <w:pPr>
        <w:ind w:left="1080" w:hanging="360"/>
      </w:pPr>
      <w:rPr>
        <w:rFonts w:ascii="Symbol" w:hAnsi="Symbol"/>
      </w:rPr>
    </w:lvl>
    <w:lvl w:ilvl="3" w:tplc="ABDA7D0E">
      <w:start w:val="1"/>
      <w:numFmt w:val="bullet"/>
      <w:lvlText w:val=""/>
      <w:lvlJc w:val="left"/>
      <w:pPr>
        <w:ind w:left="1080" w:hanging="360"/>
      </w:pPr>
      <w:rPr>
        <w:rFonts w:ascii="Symbol" w:hAnsi="Symbol"/>
      </w:rPr>
    </w:lvl>
    <w:lvl w:ilvl="4" w:tplc="E49819CA">
      <w:start w:val="1"/>
      <w:numFmt w:val="bullet"/>
      <w:lvlText w:val=""/>
      <w:lvlJc w:val="left"/>
      <w:pPr>
        <w:ind w:left="1080" w:hanging="360"/>
      </w:pPr>
      <w:rPr>
        <w:rFonts w:ascii="Symbol" w:hAnsi="Symbol"/>
      </w:rPr>
    </w:lvl>
    <w:lvl w:ilvl="5" w:tplc="CDDE5F20">
      <w:start w:val="1"/>
      <w:numFmt w:val="bullet"/>
      <w:lvlText w:val=""/>
      <w:lvlJc w:val="left"/>
      <w:pPr>
        <w:ind w:left="1080" w:hanging="360"/>
      </w:pPr>
      <w:rPr>
        <w:rFonts w:ascii="Symbol" w:hAnsi="Symbol"/>
      </w:rPr>
    </w:lvl>
    <w:lvl w:ilvl="6" w:tplc="D570C6C8">
      <w:start w:val="1"/>
      <w:numFmt w:val="bullet"/>
      <w:lvlText w:val=""/>
      <w:lvlJc w:val="left"/>
      <w:pPr>
        <w:ind w:left="1080" w:hanging="360"/>
      </w:pPr>
      <w:rPr>
        <w:rFonts w:ascii="Symbol" w:hAnsi="Symbol"/>
      </w:rPr>
    </w:lvl>
    <w:lvl w:ilvl="7" w:tplc="593CC8A6">
      <w:start w:val="1"/>
      <w:numFmt w:val="bullet"/>
      <w:lvlText w:val=""/>
      <w:lvlJc w:val="left"/>
      <w:pPr>
        <w:ind w:left="1080" w:hanging="360"/>
      </w:pPr>
      <w:rPr>
        <w:rFonts w:ascii="Symbol" w:hAnsi="Symbol"/>
      </w:rPr>
    </w:lvl>
    <w:lvl w:ilvl="8" w:tplc="449445BA">
      <w:start w:val="1"/>
      <w:numFmt w:val="bullet"/>
      <w:lvlText w:val=""/>
      <w:lvlJc w:val="left"/>
      <w:pPr>
        <w:ind w:left="1080" w:hanging="360"/>
      </w:pPr>
      <w:rPr>
        <w:rFonts w:ascii="Symbol" w:hAnsi="Symbol"/>
      </w:rPr>
    </w:lvl>
  </w:abstractNum>
  <w:abstractNum w:abstractNumId="8" w15:restartNumberingAfterBreak="0">
    <w:nsid w:val="499C2D98"/>
    <w:multiLevelType w:val="hybridMultilevel"/>
    <w:tmpl w:val="D05E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100E4F"/>
    <w:multiLevelType w:val="hybridMultilevel"/>
    <w:tmpl w:val="352068D0"/>
    <w:lvl w:ilvl="0" w:tplc="889A11F0">
      <w:start w:val="1"/>
      <w:numFmt w:val="bullet"/>
      <w:lvlText w:val="–"/>
      <w:lvlJc w:val="left"/>
      <w:pPr>
        <w:ind w:left="270" w:hanging="270"/>
      </w:pPr>
    </w:lvl>
    <w:lvl w:ilvl="1" w:tplc="968E5330">
      <w:numFmt w:val="decimal"/>
      <w:lvlText w:val=""/>
      <w:lvlJc w:val="left"/>
    </w:lvl>
    <w:lvl w:ilvl="2" w:tplc="C3980F88">
      <w:numFmt w:val="decimal"/>
      <w:lvlText w:val=""/>
      <w:lvlJc w:val="left"/>
    </w:lvl>
    <w:lvl w:ilvl="3" w:tplc="17AEB756">
      <w:numFmt w:val="decimal"/>
      <w:lvlText w:val=""/>
      <w:lvlJc w:val="left"/>
    </w:lvl>
    <w:lvl w:ilvl="4" w:tplc="E37EDE2C">
      <w:numFmt w:val="decimal"/>
      <w:lvlText w:val=""/>
      <w:lvlJc w:val="left"/>
    </w:lvl>
    <w:lvl w:ilvl="5" w:tplc="DF22A608">
      <w:numFmt w:val="decimal"/>
      <w:lvlText w:val=""/>
      <w:lvlJc w:val="left"/>
    </w:lvl>
    <w:lvl w:ilvl="6" w:tplc="2050EF76">
      <w:numFmt w:val="decimal"/>
      <w:lvlText w:val=""/>
      <w:lvlJc w:val="left"/>
    </w:lvl>
    <w:lvl w:ilvl="7" w:tplc="2DC2B74A">
      <w:numFmt w:val="decimal"/>
      <w:lvlText w:val=""/>
      <w:lvlJc w:val="left"/>
    </w:lvl>
    <w:lvl w:ilvl="8" w:tplc="2B34BA10">
      <w:numFmt w:val="decimal"/>
      <w:lvlText w:val=""/>
      <w:lvlJc w:val="left"/>
    </w:lvl>
  </w:abstractNum>
  <w:abstractNum w:abstractNumId="10" w15:restartNumberingAfterBreak="0">
    <w:nsid w:val="52D320FF"/>
    <w:multiLevelType w:val="hybridMultilevel"/>
    <w:tmpl w:val="7242E90A"/>
    <w:lvl w:ilvl="0" w:tplc="0E60D56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C911C6"/>
    <w:multiLevelType w:val="hybridMultilevel"/>
    <w:tmpl w:val="32B2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662B0D"/>
    <w:multiLevelType w:val="hybridMultilevel"/>
    <w:tmpl w:val="7D46436E"/>
    <w:lvl w:ilvl="0" w:tplc="26B0AE1E">
      <w:start w:val="1"/>
      <w:numFmt w:val="bullet"/>
      <w:lvlText w:val="•"/>
      <w:lvlJc w:val="left"/>
      <w:pPr>
        <w:ind w:left="540" w:hanging="270"/>
      </w:pPr>
    </w:lvl>
    <w:lvl w:ilvl="1" w:tplc="52587526">
      <w:numFmt w:val="decimal"/>
      <w:lvlText w:val=""/>
      <w:lvlJc w:val="left"/>
    </w:lvl>
    <w:lvl w:ilvl="2" w:tplc="9FF88C90">
      <w:numFmt w:val="decimal"/>
      <w:lvlText w:val=""/>
      <w:lvlJc w:val="left"/>
    </w:lvl>
    <w:lvl w:ilvl="3" w:tplc="0A56FDCA">
      <w:numFmt w:val="decimal"/>
      <w:lvlText w:val=""/>
      <w:lvlJc w:val="left"/>
    </w:lvl>
    <w:lvl w:ilvl="4" w:tplc="C55E5778">
      <w:numFmt w:val="decimal"/>
      <w:lvlText w:val=""/>
      <w:lvlJc w:val="left"/>
    </w:lvl>
    <w:lvl w:ilvl="5" w:tplc="267E1598">
      <w:numFmt w:val="decimal"/>
      <w:lvlText w:val=""/>
      <w:lvlJc w:val="left"/>
    </w:lvl>
    <w:lvl w:ilvl="6" w:tplc="F0B875FA">
      <w:numFmt w:val="decimal"/>
      <w:lvlText w:val=""/>
      <w:lvlJc w:val="left"/>
    </w:lvl>
    <w:lvl w:ilvl="7" w:tplc="5C268CFE">
      <w:numFmt w:val="decimal"/>
      <w:lvlText w:val=""/>
      <w:lvlJc w:val="left"/>
    </w:lvl>
    <w:lvl w:ilvl="8" w:tplc="77DCB334">
      <w:numFmt w:val="decimal"/>
      <w:lvlText w:val=""/>
      <w:lvlJc w:val="left"/>
    </w:lvl>
  </w:abstractNum>
  <w:abstractNum w:abstractNumId="13" w15:restartNumberingAfterBreak="0">
    <w:nsid w:val="6B171248"/>
    <w:multiLevelType w:val="hybridMultilevel"/>
    <w:tmpl w:val="F9E2FB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C6AED"/>
    <w:multiLevelType w:val="hybridMultilevel"/>
    <w:tmpl w:val="13C26EAA"/>
    <w:lvl w:ilvl="0" w:tplc="85A8E000">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num w:numId="1" w16cid:durableId="1393651140">
    <w:abstractNumId w:val="5"/>
  </w:num>
  <w:num w:numId="2" w16cid:durableId="1246955614">
    <w:abstractNumId w:val="14"/>
  </w:num>
  <w:num w:numId="3" w16cid:durableId="1128813810">
    <w:abstractNumId w:val="13"/>
  </w:num>
  <w:num w:numId="4" w16cid:durableId="1339848334">
    <w:abstractNumId w:val="15"/>
  </w:num>
  <w:num w:numId="5" w16cid:durableId="738408413">
    <w:abstractNumId w:val="11"/>
  </w:num>
  <w:num w:numId="6" w16cid:durableId="1016419298">
    <w:abstractNumId w:val="10"/>
  </w:num>
  <w:num w:numId="7" w16cid:durableId="815490285">
    <w:abstractNumId w:val="2"/>
  </w:num>
  <w:num w:numId="8" w16cid:durableId="1371300261">
    <w:abstractNumId w:val="4"/>
  </w:num>
  <w:num w:numId="9" w16cid:durableId="1992519944">
    <w:abstractNumId w:val="1"/>
  </w:num>
  <w:num w:numId="10" w16cid:durableId="691415771">
    <w:abstractNumId w:val="3"/>
  </w:num>
  <w:num w:numId="11" w16cid:durableId="1398439017">
    <w:abstractNumId w:val="6"/>
  </w:num>
  <w:num w:numId="12" w16cid:durableId="421411927">
    <w:abstractNumId w:val="0"/>
  </w:num>
  <w:num w:numId="13" w16cid:durableId="2102749689">
    <w:abstractNumId w:val="12"/>
    <w:lvlOverride w:ilvl="0">
      <w:startOverride w:val="1"/>
    </w:lvlOverride>
  </w:num>
  <w:num w:numId="14" w16cid:durableId="1353265900">
    <w:abstractNumId w:val="9"/>
    <w:lvlOverride w:ilvl="0">
      <w:startOverride w:val="1"/>
    </w:lvlOverride>
  </w:num>
  <w:num w:numId="15" w16cid:durableId="702559034">
    <w:abstractNumId w:val="7"/>
  </w:num>
  <w:num w:numId="16" w16cid:durableId="125038285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13C2"/>
    <w:rsid w:val="000023A0"/>
    <w:rsid w:val="0000658E"/>
    <w:rsid w:val="000176FB"/>
    <w:rsid w:val="00017DF8"/>
    <w:rsid w:val="00021354"/>
    <w:rsid w:val="000240EF"/>
    <w:rsid w:val="00025A3A"/>
    <w:rsid w:val="000262F6"/>
    <w:rsid w:val="00027790"/>
    <w:rsid w:val="0003085B"/>
    <w:rsid w:val="00030D75"/>
    <w:rsid w:val="00032A94"/>
    <w:rsid w:val="00033FCC"/>
    <w:rsid w:val="0003424C"/>
    <w:rsid w:val="00040D21"/>
    <w:rsid w:val="00041B53"/>
    <w:rsid w:val="00041B5D"/>
    <w:rsid w:val="000425CA"/>
    <w:rsid w:val="000462EE"/>
    <w:rsid w:val="00047E12"/>
    <w:rsid w:val="0005072C"/>
    <w:rsid w:val="0005108F"/>
    <w:rsid w:val="0005313D"/>
    <w:rsid w:val="00054F9D"/>
    <w:rsid w:val="000551A4"/>
    <w:rsid w:val="000600E8"/>
    <w:rsid w:val="0006055D"/>
    <w:rsid w:val="00060863"/>
    <w:rsid w:val="00060B1B"/>
    <w:rsid w:val="00061958"/>
    <w:rsid w:val="000635E0"/>
    <w:rsid w:val="000645E2"/>
    <w:rsid w:val="0006518C"/>
    <w:rsid w:val="00065393"/>
    <w:rsid w:val="00066CE6"/>
    <w:rsid w:val="00070594"/>
    <w:rsid w:val="00072738"/>
    <w:rsid w:val="00076F9F"/>
    <w:rsid w:val="00077260"/>
    <w:rsid w:val="00081DB0"/>
    <w:rsid w:val="00082213"/>
    <w:rsid w:val="00082F13"/>
    <w:rsid w:val="000868F2"/>
    <w:rsid w:val="00087FD4"/>
    <w:rsid w:val="000909F6"/>
    <w:rsid w:val="00090E51"/>
    <w:rsid w:val="0009152B"/>
    <w:rsid w:val="000933DC"/>
    <w:rsid w:val="00093DBF"/>
    <w:rsid w:val="00095E37"/>
    <w:rsid w:val="000A191F"/>
    <w:rsid w:val="000A574E"/>
    <w:rsid w:val="000A5D31"/>
    <w:rsid w:val="000A5D85"/>
    <w:rsid w:val="000A66CD"/>
    <w:rsid w:val="000A6953"/>
    <w:rsid w:val="000A74C2"/>
    <w:rsid w:val="000B439F"/>
    <w:rsid w:val="000B466E"/>
    <w:rsid w:val="000B49E0"/>
    <w:rsid w:val="000B4A4E"/>
    <w:rsid w:val="000B5C1C"/>
    <w:rsid w:val="000C1B2D"/>
    <w:rsid w:val="000C1E6C"/>
    <w:rsid w:val="000C62F2"/>
    <w:rsid w:val="000C76BF"/>
    <w:rsid w:val="000D1D10"/>
    <w:rsid w:val="000D45C9"/>
    <w:rsid w:val="000D58AE"/>
    <w:rsid w:val="000D7B8D"/>
    <w:rsid w:val="000E0E29"/>
    <w:rsid w:val="000E228F"/>
    <w:rsid w:val="000E276F"/>
    <w:rsid w:val="000E3B4D"/>
    <w:rsid w:val="000E6452"/>
    <w:rsid w:val="000E6F99"/>
    <w:rsid w:val="000F3AE6"/>
    <w:rsid w:val="000F6C05"/>
    <w:rsid w:val="00100E3D"/>
    <w:rsid w:val="00100EE0"/>
    <w:rsid w:val="00102BFF"/>
    <w:rsid w:val="00105880"/>
    <w:rsid w:val="00107F1D"/>
    <w:rsid w:val="00110538"/>
    <w:rsid w:val="00110661"/>
    <w:rsid w:val="0011090D"/>
    <w:rsid w:val="00110D9C"/>
    <w:rsid w:val="00110F45"/>
    <w:rsid w:val="001133FD"/>
    <w:rsid w:val="00114146"/>
    <w:rsid w:val="001160A8"/>
    <w:rsid w:val="001169DD"/>
    <w:rsid w:val="001213CF"/>
    <w:rsid w:val="00122C6A"/>
    <w:rsid w:val="00125284"/>
    <w:rsid w:val="001254E8"/>
    <w:rsid w:val="00125861"/>
    <w:rsid w:val="001259BE"/>
    <w:rsid w:val="00126131"/>
    <w:rsid w:val="0013002B"/>
    <w:rsid w:val="0013104D"/>
    <w:rsid w:val="00131DB9"/>
    <w:rsid w:val="001352AA"/>
    <w:rsid w:val="00135836"/>
    <w:rsid w:val="00143C69"/>
    <w:rsid w:val="001450B0"/>
    <w:rsid w:val="001458BD"/>
    <w:rsid w:val="0014653F"/>
    <w:rsid w:val="00150097"/>
    <w:rsid w:val="001509EC"/>
    <w:rsid w:val="00150F8F"/>
    <w:rsid w:val="00151587"/>
    <w:rsid w:val="0015293B"/>
    <w:rsid w:val="00153C2E"/>
    <w:rsid w:val="00156FFC"/>
    <w:rsid w:val="00162DDB"/>
    <w:rsid w:val="00163434"/>
    <w:rsid w:val="0016551B"/>
    <w:rsid w:val="0016574B"/>
    <w:rsid w:val="0017349D"/>
    <w:rsid w:val="00174D91"/>
    <w:rsid w:val="00180E4B"/>
    <w:rsid w:val="00181248"/>
    <w:rsid w:val="00181257"/>
    <w:rsid w:val="00181641"/>
    <w:rsid w:val="00182267"/>
    <w:rsid w:val="00183362"/>
    <w:rsid w:val="00190A63"/>
    <w:rsid w:val="00196501"/>
    <w:rsid w:val="001A17C7"/>
    <w:rsid w:val="001A5935"/>
    <w:rsid w:val="001A7A81"/>
    <w:rsid w:val="001A7DF8"/>
    <w:rsid w:val="001B50FB"/>
    <w:rsid w:val="001B59DF"/>
    <w:rsid w:val="001B6EF1"/>
    <w:rsid w:val="001C0DFF"/>
    <w:rsid w:val="001C1C27"/>
    <w:rsid w:val="001C3F62"/>
    <w:rsid w:val="001C411B"/>
    <w:rsid w:val="001C7D1E"/>
    <w:rsid w:val="001D1048"/>
    <w:rsid w:val="001D2526"/>
    <w:rsid w:val="001E1A2C"/>
    <w:rsid w:val="001E60CA"/>
    <w:rsid w:val="001F1046"/>
    <w:rsid w:val="001F1F92"/>
    <w:rsid w:val="001F200B"/>
    <w:rsid w:val="001F3291"/>
    <w:rsid w:val="001F5F76"/>
    <w:rsid w:val="0020266D"/>
    <w:rsid w:val="00202A94"/>
    <w:rsid w:val="00204F52"/>
    <w:rsid w:val="00210020"/>
    <w:rsid w:val="002144CC"/>
    <w:rsid w:val="002148F3"/>
    <w:rsid w:val="00214D65"/>
    <w:rsid w:val="00215111"/>
    <w:rsid w:val="0021586C"/>
    <w:rsid w:val="0021631E"/>
    <w:rsid w:val="00221474"/>
    <w:rsid w:val="00222377"/>
    <w:rsid w:val="002232FA"/>
    <w:rsid w:val="00224C7C"/>
    <w:rsid w:val="00225BC3"/>
    <w:rsid w:val="002278BD"/>
    <w:rsid w:val="00230D4A"/>
    <w:rsid w:val="00232291"/>
    <w:rsid w:val="00232991"/>
    <w:rsid w:val="002345DD"/>
    <w:rsid w:val="002347E9"/>
    <w:rsid w:val="00234A91"/>
    <w:rsid w:val="0023556C"/>
    <w:rsid w:val="00243006"/>
    <w:rsid w:val="00243E1C"/>
    <w:rsid w:val="0024413F"/>
    <w:rsid w:val="0025084B"/>
    <w:rsid w:val="002509AE"/>
    <w:rsid w:val="00251362"/>
    <w:rsid w:val="00251D66"/>
    <w:rsid w:val="00252A58"/>
    <w:rsid w:val="00252E45"/>
    <w:rsid w:val="0025444E"/>
    <w:rsid w:val="0025675B"/>
    <w:rsid w:val="00256872"/>
    <w:rsid w:val="00257F1E"/>
    <w:rsid w:val="002622D4"/>
    <w:rsid w:val="00264A2C"/>
    <w:rsid w:val="00265950"/>
    <w:rsid w:val="00270933"/>
    <w:rsid w:val="00272625"/>
    <w:rsid w:val="00272A69"/>
    <w:rsid w:val="00274281"/>
    <w:rsid w:val="002818C8"/>
    <w:rsid w:val="002821F8"/>
    <w:rsid w:val="00282C60"/>
    <w:rsid w:val="00282D76"/>
    <w:rsid w:val="002860B6"/>
    <w:rsid w:val="00286EED"/>
    <w:rsid w:val="002874F0"/>
    <w:rsid w:val="00292880"/>
    <w:rsid w:val="00293275"/>
    <w:rsid w:val="00293902"/>
    <w:rsid w:val="00294DD7"/>
    <w:rsid w:val="00294EBD"/>
    <w:rsid w:val="002A16AD"/>
    <w:rsid w:val="002A3994"/>
    <w:rsid w:val="002A601F"/>
    <w:rsid w:val="002A6498"/>
    <w:rsid w:val="002A66B7"/>
    <w:rsid w:val="002A74A1"/>
    <w:rsid w:val="002A76EF"/>
    <w:rsid w:val="002B0F56"/>
    <w:rsid w:val="002B5CA7"/>
    <w:rsid w:val="002B7CF0"/>
    <w:rsid w:val="002C1957"/>
    <w:rsid w:val="002C21C5"/>
    <w:rsid w:val="002C274E"/>
    <w:rsid w:val="002C2908"/>
    <w:rsid w:val="002C2CA0"/>
    <w:rsid w:val="002C3C53"/>
    <w:rsid w:val="002C5835"/>
    <w:rsid w:val="002C5E2C"/>
    <w:rsid w:val="002C78A5"/>
    <w:rsid w:val="002C7D0B"/>
    <w:rsid w:val="002D152B"/>
    <w:rsid w:val="002D271D"/>
    <w:rsid w:val="002D79A2"/>
    <w:rsid w:val="002E02D0"/>
    <w:rsid w:val="002E4943"/>
    <w:rsid w:val="002E4BFC"/>
    <w:rsid w:val="002E504A"/>
    <w:rsid w:val="002E6AC5"/>
    <w:rsid w:val="002E6D4F"/>
    <w:rsid w:val="002F02F7"/>
    <w:rsid w:val="002F0977"/>
    <w:rsid w:val="002F0A4A"/>
    <w:rsid w:val="002F109A"/>
    <w:rsid w:val="002F14E3"/>
    <w:rsid w:val="002F1FAE"/>
    <w:rsid w:val="002F2D26"/>
    <w:rsid w:val="002F2EBA"/>
    <w:rsid w:val="002F4376"/>
    <w:rsid w:val="002F5CBD"/>
    <w:rsid w:val="002F6681"/>
    <w:rsid w:val="00300147"/>
    <w:rsid w:val="003029CF"/>
    <w:rsid w:val="0030317C"/>
    <w:rsid w:val="003061A2"/>
    <w:rsid w:val="0031042C"/>
    <w:rsid w:val="00314210"/>
    <w:rsid w:val="003178CE"/>
    <w:rsid w:val="00317A8F"/>
    <w:rsid w:val="00320AD2"/>
    <w:rsid w:val="00320EFF"/>
    <w:rsid w:val="003225E5"/>
    <w:rsid w:val="003233F7"/>
    <w:rsid w:val="003260F6"/>
    <w:rsid w:val="00331644"/>
    <w:rsid w:val="00332790"/>
    <w:rsid w:val="0033656F"/>
    <w:rsid w:val="00340E1A"/>
    <w:rsid w:val="00343842"/>
    <w:rsid w:val="00343858"/>
    <w:rsid w:val="00345C52"/>
    <w:rsid w:val="003462BD"/>
    <w:rsid w:val="00347FE7"/>
    <w:rsid w:val="003521F6"/>
    <w:rsid w:val="00352295"/>
    <w:rsid w:val="0035362F"/>
    <w:rsid w:val="00354BE3"/>
    <w:rsid w:val="00355763"/>
    <w:rsid w:val="00355F6D"/>
    <w:rsid w:val="00356550"/>
    <w:rsid w:val="00357F6F"/>
    <w:rsid w:val="00360A32"/>
    <w:rsid w:val="003650C8"/>
    <w:rsid w:val="003755D5"/>
    <w:rsid w:val="00380AFF"/>
    <w:rsid w:val="00381CA1"/>
    <w:rsid w:val="003822B9"/>
    <w:rsid w:val="0038696C"/>
    <w:rsid w:val="00387835"/>
    <w:rsid w:val="00391734"/>
    <w:rsid w:val="00392939"/>
    <w:rsid w:val="00392961"/>
    <w:rsid w:val="0039386E"/>
    <w:rsid w:val="00394AE9"/>
    <w:rsid w:val="00395A5D"/>
    <w:rsid w:val="00396194"/>
    <w:rsid w:val="003A0FD7"/>
    <w:rsid w:val="003A21C1"/>
    <w:rsid w:val="003A46CD"/>
    <w:rsid w:val="003A4B7D"/>
    <w:rsid w:val="003A64B1"/>
    <w:rsid w:val="003A64F4"/>
    <w:rsid w:val="003A78F3"/>
    <w:rsid w:val="003B1455"/>
    <w:rsid w:val="003B197E"/>
    <w:rsid w:val="003B20D1"/>
    <w:rsid w:val="003B21C8"/>
    <w:rsid w:val="003B5316"/>
    <w:rsid w:val="003B53AE"/>
    <w:rsid w:val="003B587F"/>
    <w:rsid w:val="003B6D5E"/>
    <w:rsid w:val="003B77FD"/>
    <w:rsid w:val="003C08B4"/>
    <w:rsid w:val="003C1C2F"/>
    <w:rsid w:val="003C34C1"/>
    <w:rsid w:val="003C4C1D"/>
    <w:rsid w:val="003C6477"/>
    <w:rsid w:val="003C6947"/>
    <w:rsid w:val="003C6A22"/>
    <w:rsid w:val="003D1E81"/>
    <w:rsid w:val="003D4B0D"/>
    <w:rsid w:val="003D6F33"/>
    <w:rsid w:val="003D6F36"/>
    <w:rsid w:val="003D786B"/>
    <w:rsid w:val="003E0043"/>
    <w:rsid w:val="003E1F4E"/>
    <w:rsid w:val="003E24EE"/>
    <w:rsid w:val="003E3384"/>
    <w:rsid w:val="003E4AB7"/>
    <w:rsid w:val="003F1E4F"/>
    <w:rsid w:val="003F2ACF"/>
    <w:rsid w:val="003F4C10"/>
    <w:rsid w:val="003F638D"/>
    <w:rsid w:val="003F6A97"/>
    <w:rsid w:val="00400E59"/>
    <w:rsid w:val="00400F5F"/>
    <w:rsid w:val="0040137D"/>
    <w:rsid w:val="0040190C"/>
    <w:rsid w:val="00403397"/>
    <w:rsid w:val="00404AB8"/>
    <w:rsid w:val="00404B5B"/>
    <w:rsid w:val="00405004"/>
    <w:rsid w:val="0040607B"/>
    <w:rsid w:val="004077DE"/>
    <w:rsid w:val="0041100B"/>
    <w:rsid w:val="00416224"/>
    <w:rsid w:val="00416B82"/>
    <w:rsid w:val="00426622"/>
    <w:rsid w:val="00427FA1"/>
    <w:rsid w:val="00431773"/>
    <w:rsid w:val="00432209"/>
    <w:rsid w:val="0043475C"/>
    <w:rsid w:val="00437408"/>
    <w:rsid w:val="0043772B"/>
    <w:rsid w:val="004402DD"/>
    <w:rsid w:val="00442DC1"/>
    <w:rsid w:val="004441EA"/>
    <w:rsid w:val="00447087"/>
    <w:rsid w:val="00453070"/>
    <w:rsid w:val="00455026"/>
    <w:rsid w:val="0045512E"/>
    <w:rsid w:val="00461FDF"/>
    <w:rsid w:val="00462FE6"/>
    <w:rsid w:val="00465F26"/>
    <w:rsid w:val="00466F1A"/>
    <w:rsid w:val="004705CA"/>
    <w:rsid w:val="00471A3C"/>
    <w:rsid w:val="00472275"/>
    <w:rsid w:val="00472316"/>
    <w:rsid w:val="00474B96"/>
    <w:rsid w:val="00477744"/>
    <w:rsid w:val="0048077B"/>
    <w:rsid w:val="00480A75"/>
    <w:rsid w:val="004813A2"/>
    <w:rsid w:val="004816DB"/>
    <w:rsid w:val="00482487"/>
    <w:rsid w:val="00484241"/>
    <w:rsid w:val="00485FD5"/>
    <w:rsid w:val="00487A77"/>
    <w:rsid w:val="00490163"/>
    <w:rsid w:val="0049048E"/>
    <w:rsid w:val="00493007"/>
    <w:rsid w:val="00493CDF"/>
    <w:rsid w:val="00493F44"/>
    <w:rsid w:val="004952DF"/>
    <w:rsid w:val="00496F9D"/>
    <w:rsid w:val="004A087C"/>
    <w:rsid w:val="004A2B7F"/>
    <w:rsid w:val="004A64C6"/>
    <w:rsid w:val="004A7322"/>
    <w:rsid w:val="004B1CB6"/>
    <w:rsid w:val="004B3862"/>
    <w:rsid w:val="004B40AA"/>
    <w:rsid w:val="004B593B"/>
    <w:rsid w:val="004B7167"/>
    <w:rsid w:val="004C005D"/>
    <w:rsid w:val="004C0910"/>
    <w:rsid w:val="004C0EE6"/>
    <w:rsid w:val="004C10CE"/>
    <w:rsid w:val="004C1966"/>
    <w:rsid w:val="004C322B"/>
    <w:rsid w:val="004C55D5"/>
    <w:rsid w:val="004C6692"/>
    <w:rsid w:val="004C6A31"/>
    <w:rsid w:val="004C7DE7"/>
    <w:rsid w:val="004D250F"/>
    <w:rsid w:val="004D3BAF"/>
    <w:rsid w:val="004D6042"/>
    <w:rsid w:val="004D6BF6"/>
    <w:rsid w:val="004E162C"/>
    <w:rsid w:val="004E2507"/>
    <w:rsid w:val="004E38D3"/>
    <w:rsid w:val="004E39D1"/>
    <w:rsid w:val="004E4521"/>
    <w:rsid w:val="004E5E12"/>
    <w:rsid w:val="004E6D40"/>
    <w:rsid w:val="004E762A"/>
    <w:rsid w:val="004F336D"/>
    <w:rsid w:val="004F578F"/>
    <w:rsid w:val="004F797E"/>
    <w:rsid w:val="00500947"/>
    <w:rsid w:val="00502E1D"/>
    <w:rsid w:val="005032F9"/>
    <w:rsid w:val="00504A7B"/>
    <w:rsid w:val="0051035F"/>
    <w:rsid w:val="005103DA"/>
    <w:rsid w:val="00510917"/>
    <w:rsid w:val="005115C0"/>
    <w:rsid w:val="005132E0"/>
    <w:rsid w:val="005137AF"/>
    <w:rsid w:val="00514EB6"/>
    <w:rsid w:val="00517E3F"/>
    <w:rsid w:val="00522540"/>
    <w:rsid w:val="00522AA2"/>
    <w:rsid w:val="0052355F"/>
    <w:rsid w:val="005241A2"/>
    <w:rsid w:val="00524EE7"/>
    <w:rsid w:val="005262FC"/>
    <w:rsid w:val="0053050F"/>
    <w:rsid w:val="005305B3"/>
    <w:rsid w:val="005309C2"/>
    <w:rsid w:val="005310AD"/>
    <w:rsid w:val="0053196B"/>
    <w:rsid w:val="00534EB9"/>
    <w:rsid w:val="005400B6"/>
    <w:rsid w:val="005400BF"/>
    <w:rsid w:val="0054085C"/>
    <w:rsid w:val="005445F4"/>
    <w:rsid w:val="0054543F"/>
    <w:rsid w:val="0054575A"/>
    <w:rsid w:val="0054664C"/>
    <w:rsid w:val="005472AC"/>
    <w:rsid w:val="005509FE"/>
    <w:rsid w:val="00550C08"/>
    <w:rsid w:val="00551091"/>
    <w:rsid w:val="00551AF4"/>
    <w:rsid w:val="00553727"/>
    <w:rsid w:val="00560239"/>
    <w:rsid w:val="00560D71"/>
    <w:rsid w:val="00564B12"/>
    <w:rsid w:val="00571AAA"/>
    <w:rsid w:val="00574B50"/>
    <w:rsid w:val="00574E6F"/>
    <w:rsid w:val="0057516B"/>
    <w:rsid w:val="005759D8"/>
    <w:rsid w:val="00576D69"/>
    <w:rsid w:val="00577524"/>
    <w:rsid w:val="005818D8"/>
    <w:rsid w:val="00583947"/>
    <w:rsid w:val="00584432"/>
    <w:rsid w:val="00586DD9"/>
    <w:rsid w:val="00593508"/>
    <w:rsid w:val="00594184"/>
    <w:rsid w:val="005951BF"/>
    <w:rsid w:val="00595D2F"/>
    <w:rsid w:val="00596B07"/>
    <w:rsid w:val="005976FA"/>
    <w:rsid w:val="00597CB1"/>
    <w:rsid w:val="005A0EDB"/>
    <w:rsid w:val="005A203B"/>
    <w:rsid w:val="005A23CE"/>
    <w:rsid w:val="005A2E8A"/>
    <w:rsid w:val="005B259A"/>
    <w:rsid w:val="005B561A"/>
    <w:rsid w:val="005B56A7"/>
    <w:rsid w:val="005B6CC5"/>
    <w:rsid w:val="005C143B"/>
    <w:rsid w:val="005C54D0"/>
    <w:rsid w:val="005C5EFC"/>
    <w:rsid w:val="005C72C7"/>
    <w:rsid w:val="005D11F9"/>
    <w:rsid w:val="005D2D16"/>
    <w:rsid w:val="005D566B"/>
    <w:rsid w:val="005E17F5"/>
    <w:rsid w:val="005E1AE3"/>
    <w:rsid w:val="005E3E28"/>
    <w:rsid w:val="005E45F6"/>
    <w:rsid w:val="005E51AC"/>
    <w:rsid w:val="005E5D03"/>
    <w:rsid w:val="005E747D"/>
    <w:rsid w:val="005F5866"/>
    <w:rsid w:val="0060026A"/>
    <w:rsid w:val="006012A2"/>
    <w:rsid w:val="00604636"/>
    <w:rsid w:val="00604A78"/>
    <w:rsid w:val="00606B08"/>
    <w:rsid w:val="00610698"/>
    <w:rsid w:val="006120C4"/>
    <w:rsid w:val="00613A32"/>
    <w:rsid w:val="0061458A"/>
    <w:rsid w:val="0061648B"/>
    <w:rsid w:val="00617577"/>
    <w:rsid w:val="00621994"/>
    <w:rsid w:val="0062219A"/>
    <w:rsid w:val="00623081"/>
    <w:rsid w:val="00627B0C"/>
    <w:rsid w:val="00632683"/>
    <w:rsid w:val="00632703"/>
    <w:rsid w:val="00632F28"/>
    <w:rsid w:val="00633030"/>
    <w:rsid w:val="00633415"/>
    <w:rsid w:val="00635BC4"/>
    <w:rsid w:val="006365A1"/>
    <w:rsid w:val="0063723A"/>
    <w:rsid w:val="00637751"/>
    <w:rsid w:val="006401B5"/>
    <w:rsid w:val="00640F91"/>
    <w:rsid w:val="00642E31"/>
    <w:rsid w:val="00645E0C"/>
    <w:rsid w:val="006518F8"/>
    <w:rsid w:val="00655A44"/>
    <w:rsid w:val="006602E3"/>
    <w:rsid w:val="0066187A"/>
    <w:rsid w:val="00664845"/>
    <w:rsid w:val="00664A8A"/>
    <w:rsid w:val="00665550"/>
    <w:rsid w:val="00666105"/>
    <w:rsid w:val="006664BD"/>
    <w:rsid w:val="00666C81"/>
    <w:rsid w:val="00676F52"/>
    <w:rsid w:val="0067765A"/>
    <w:rsid w:val="0068021D"/>
    <w:rsid w:val="00681063"/>
    <w:rsid w:val="00681105"/>
    <w:rsid w:val="006840BC"/>
    <w:rsid w:val="00690359"/>
    <w:rsid w:val="00690B54"/>
    <w:rsid w:val="0069216D"/>
    <w:rsid w:val="00692ACE"/>
    <w:rsid w:val="006952EE"/>
    <w:rsid w:val="0069737C"/>
    <w:rsid w:val="00697609"/>
    <w:rsid w:val="006A221A"/>
    <w:rsid w:val="006A24BC"/>
    <w:rsid w:val="006A2FBC"/>
    <w:rsid w:val="006A6798"/>
    <w:rsid w:val="006A7B8C"/>
    <w:rsid w:val="006B0CF6"/>
    <w:rsid w:val="006B1BBB"/>
    <w:rsid w:val="006B227D"/>
    <w:rsid w:val="006B67B3"/>
    <w:rsid w:val="006C0F37"/>
    <w:rsid w:val="006D0104"/>
    <w:rsid w:val="006D0D43"/>
    <w:rsid w:val="006D166E"/>
    <w:rsid w:val="006D3317"/>
    <w:rsid w:val="006D35C0"/>
    <w:rsid w:val="006D5A7C"/>
    <w:rsid w:val="006E1F1A"/>
    <w:rsid w:val="006E4FA3"/>
    <w:rsid w:val="006E5E44"/>
    <w:rsid w:val="006F0813"/>
    <w:rsid w:val="006F2138"/>
    <w:rsid w:val="006F418B"/>
    <w:rsid w:val="006F43DF"/>
    <w:rsid w:val="006F5590"/>
    <w:rsid w:val="006F68CA"/>
    <w:rsid w:val="00701B89"/>
    <w:rsid w:val="00702288"/>
    <w:rsid w:val="00703517"/>
    <w:rsid w:val="00711FA2"/>
    <w:rsid w:val="007121E5"/>
    <w:rsid w:val="00713459"/>
    <w:rsid w:val="00717FCE"/>
    <w:rsid w:val="00721FF2"/>
    <w:rsid w:val="0072329C"/>
    <w:rsid w:val="00723D17"/>
    <w:rsid w:val="00734182"/>
    <w:rsid w:val="00734C6A"/>
    <w:rsid w:val="00736287"/>
    <w:rsid w:val="007404AF"/>
    <w:rsid w:val="00744A56"/>
    <w:rsid w:val="00746032"/>
    <w:rsid w:val="00747967"/>
    <w:rsid w:val="0075198F"/>
    <w:rsid w:val="00753611"/>
    <w:rsid w:val="0075468F"/>
    <w:rsid w:val="0075504B"/>
    <w:rsid w:val="00755798"/>
    <w:rsid w:val="007568F7"/>
    <w:rsid w:val="00757B94"/>
    <w:rsid w:val="007626E7"/>
    <w:rsid w:val="00762D12"/>
    <w:rsid w:val="007635C8"/>
    <w:rsid w:val="00766924"/>
    <w:rsid w:val="00770F5E"/>
    <w:rsid w:val="00771C82"/>
    <w:rsid w:val="00772F45"/>
    <w:rsid w:val="00773AA7"/>
    <w:rsid w:val="0077426C"/>
    <w:rsid w:val="00775278"/>
    <w:rsid w:val="00776C78"/>
    <w:rsid w:val="00781447"/>
    <w:rsid w:val="007828A3"/>
    <w:rsid w:val="0078402F"/>
    <w:rsid w:val="00784671"/>
    <w:rsid w:val="00784E1F"/>
    <w:rsid w:val="00785231"/>
    <w:rsid w:val="00785DFD"/>
    <w:rsid w:val="00790C56"/>
    <w:rsid w:val="007934D6"/>
    <w:rsid w:val="007946CD"/>
    <w:rsid w:val="00794CE7"/>
    <w:rsid w:val="00794D78"/>
    <w:rsid w:val="007A0FFE"/>
    <w:rsid w:val="007A1D40"/>
    <w:rsid w:val="007A31AE"/>
    <w:rsid w:val="007A4676"/>
    <w:rsid w:val="007A6DC1"/>
    <w:rsid w:val="007B1C79"/>
    <w:rsid w:val="007B2739"/>
    <w:rsid w:val="007B334D"/>
    <w:rsid w:val="007B5217"/>
    <w:rsid w:val="007C0B15"/>
    <w:rsid w:val="007C6C8B"/>
    <w:rsid w:val="007D13A9"/>
    <w:rsid w:val="007D2609"/>
    <w:rsid w:val="007D5930"/>
    <w:rsid w:val="007D59A7"/>
    <w:rsid w:val="007D6CE3"/>
    <w:rsid w:val="007D7025"/>
    <w:rsid w:val="007D7BBD"/>
    <w:rsid w:val="007E52A3"/>
    <w:rsid w:val="007E5DB9"/>
    <w:rsid w:val="007E7AD7"/>
    <w:rsid w:val="007F100B"/>
    <w:rsid w:val="007F2B63"/>
    <w:rsid w:val="00800A0E"/>
    <w:rsid w:val="0080159F"/>
    <w:rsid w:val="00802930"/>
    <w:rsid w:val="00807712"/>
    <w:rsid w:val="00807AA5"/>
    <w:rsid w:val="00812613"/>
    <w:rsid w:val="00813C43"/>
    <w:rsid w:val="00815EE4"/>
    <w:rsid w:val="008162BD"/>
    <w:rsid w:val="008175ED"/>
    <w:rsid w:val="008205C7"/>
    <w:rsid w:val="00820D70"/>
    <w:rsid w:val="008263A5"/>
    <w:rsid w:val="00826DF1"/>
    <w:rsid w:val="00830F9D"/>
    <w:rsid w:val="00831A91"/>
    <w:rsid w:val="0083477F"/>
    <w:rsid w:val="00840759"/>
    <w:rsid w:val="00841419"/>
    <w:rsid w:val="00842F6D"/>
    <w:rsid w:val="00843B71"/>
    <w:rsid w:val="00844116"/>
    <w:rsid w:val="0084562C"/>
    <w:rsid w:val="00845E4D"/>
    <w:rsid w:val="008501A4"/>
    <w:rsid w:val="0085496D"/>
    <w:rsid w:val="00856704"/>
    <w:rsid w:val="00860382"/>
    <w:rsid w:val="008615C7"/>
    <w:rsid w:val="00861B25"/>
    <w:rsid w:val="0086273C"/>
    <w:rsid w:val="00862A07"/>
    <w:rsid w:val="008641B4"/>
    <w:rsid w:val="00864C72"/>
    <w:rsid w:val="00866BFA"/>
    <w:rsid w:val="00871BA6"/>
    <w:rsid w:val="00872A58"/>
    <w:rsid w:val="00875062"/>
    <w:rsid w:val="00875146"/>
    <w:rsid w:val="00875165"/>
    <w:rsid w:val="00876934"/>
    <w:rsid w:val="00882F74"/>
    <w:rsid w:val="008838C9"/>
    <w:rsid w:val="00885C87"/>
    <w:rsid w:val="00886058"/>
    <w:rsid w:val="0088642A"/>
    <w:rsid w:val="00886FF0"/>
    <w:rsid w:val="008902E5"/>
    <w:rsid w:val="00890DB8"/>
    <w:rsid w:val="00892035"/>
    <w:rsid w:val="00892318"/>
    <w:rsid w:val="00893EA8"/>
    <w:rsid w:val="008941A9"/>
    <w:rsid w:val="008955B3"/>
    <w:rsid w:val="0089667D"/>
    <w:rsid w:val="008967C3"/>
    <w:rsid w:val="00896AF2"/>
    <w:rsid w:val="008A2753"/>
    <w:rsid w:val="008A534A"/>
    <w:rsid w:val="008B2531"/>
    <w:rsid w:val="008B3541"/>
    <w:rsid w:val="008B5CC5"/>
    <w:rsid w:val="008C0DEE"/>
    <w:rsid w:val="008C16F7"/>
    <w:rsid w:val="008C2C4E"/>
    <w:rsid w:val="008C57A9"/>
    <w:rsid w:val="008C6590"/>
    <w:rsid w:val="008C6661"/>
    <w:rsid w:val="008C680D"/>
    <w:rsid w:val="008D3379"/>
    <w:rsid w:val="008D3448"/>
    <w:rsid w:val="008D55D8"/>
    <w:rsid w:val="008D61A0"/>
    <w:rsid w:val="008D663F"/>
    <w:rsid w:val="008D67F2"/>
    <w:rsid w:val="008D6DEE"/>
    <w:rsid w:val="008D7BE5"/>
    <w:rsid w:val="008E525F"/>
    <w:rsid w:val="008E63FE"/>
    <w:rsid w:val="008E7BA3"/>
    <w:rsid w:val="008F0328"/>
    <w:rsid w:val="008F46CF"/>
    <w:rsid w:val="008F572D"/>
    <w:rsid w:val="008F729A"/>
    <w:rsid w:val="008F7669"/>
    <w:rsid w:val="0090492D"/>
    <w:rsid w:val="0090564B"/>
    <w:rsid w:val="009069AE"/>
    <w:rsid w:val="009101C4"/>
    <w:rsid w:val="009163FC"/>
    <w:rsid w:val="00916707"/>
    <w:rsid w:val="00916BEA"/>
    <w:rsid w:val="009172FC"/>
    <w:rsid w:val="00927259"/>
    <w:rsid w:val="00930471"/>
    <w:rsid w:val="009308F8"/>
    <w:rsid w:val="00931CFE"/>
    <w:rsid w:val="00932E7E"/>
    <w:rsid w:val="00935AED"/>
    <w:rsid w:val="00937891"/>
    <w:rsid w:val="009414B2"/>
    <w:rsid w:val="0094173A"/>
    <w:rsid w:val="00941AD5"/>
    <w:rsid w:val="009450CE"/>
    <w:rsid w:val="00954E6D"/>
    <w:rsid w:val="00963CC6"/>
    <w:rsid w:val="00963CEE"/>
    <w:rsid w:val="00964FF6"/>
    <w:rsid w:val="00965365"/>
    <w:rsid w:val="009657CA"/>
    <w:rsid w:val="00967BA4"/>
    <w:rsid w:val="00967D7D"/>
    <w:rsid w:val="00967E4C"/>
    <w:rsid w:val="0097166A"/>
    <w:rsid w:val="009726E0"/>
    <w:rsid w:val="00972F0C"/>
    <w:rsid w:val="00973635"/>
    <w:rsid w:val="0098071D"/>
    <w:rsid w:val="00981C64"/>
    <w:rsid w:val="009842CB"/>
    <w:rsid w:val="00987A82"/>
    <w:rsid w:val="00991152"/>
    <w:rsid w:val="00991315"/>
    <w:rsid w:val="00991E8D"/>
    <w:rsid w:val="00992C22"/>
    <w:rsid w:val="009944F2"/>
    <w:rsid w:val="009A050A"/>
    <w:rsid w:val="009A0A5C"/>
    <w:rsid w:val="009A29F7"/>
    <w:rsid w:val="009A47BD"/>
    <w:rsid w:val="009B058C"/>
    <w:rsid w:val="009B12C8"/>
    <w:rsid w:val="009B137A"/>
    <w:rsid w:val="009B13B1"/>
    <w:rsid w:val="009B22D7"/>
    <w:rsid w:val="009B30EB"/>
    <w:rsid w:val="009B3821"/>
    <w:rsid w:val="009B782C"/>
    <w:rsid w:val="009C11B6"/>
    <w:rsid w:val="009C2FED"/>
    <w:rsid w:val="009C342B"/>
    <w:rsid w:val="009C620B"/>
    <w:rsid w:val="009C71B8"/>
    <w:rsid w:val="009C7A49"/>
    <w:rsid w:val="009D3E87"/>
    <w:rsid w:val="009D3F5D"/>
    <w:rsid w:val="009D703C"/>
    <w:rsid w:val="009D7369"/>
    <w:rsid w:val="009F0594"/>
    <w:rsid w:val="009F12F3"/>
    <w:rsid w:val="009F228A"/>
    <w:rsid w:val="009F236A"/>
    <w:rsid w:val="009F2E71"/>
    <w:rsid w:val="009F31A7"/>
    <w:rsid w:val="009F34D7"/>
    <w:rsid w:val="009F5434"/>
    <w:rsid w:val="009F5C1E"/>
    <w:rsid w:val="009F646C"/>
    <w:rsid w:val="00A00AE5"/>
    <w:rsid w:val="00A017F3"/>
    <w:rsid w:val="00A039DD"/>
    <w:rsid w:val="00A04A02"/>
    <w:rsid w:val="00A05AD3"/>
    <w:rsid w:val="00A06133"/>
    <w:rsid w:val="00A13B8E"/>
    <w:rsid w:val="00A17DC4"/>
    <w:rsid w:val="00A22248"/>
    <w:rsid w:val="00A228E8"/>
    <w:rsid w:val="00A267CC"/>
    <w:rsid w:val="00A334B3"/>
    <w:rsid w:val="00A33C85"/>
    <w:rsid w:val="00A3416E"/>
    <w:rsid w:val="00A346FA"/>
    <w:rsid w:val="00A34F10"/>
    <w:rsid w:val="00A374B3"/>
    <w:rsid w:val="00A40C2B"/>
    <w:rsid w:val="00A41AD3"/>
    <w:rsid w:val="00A50A38"/>
    <w:rsid w:val="00A512FF"/>
    <w:rsid w:val="00A53A3A"/>
    <w:rsid w:val="00A5416F"/>
    <w:rsid w:val="00A5438B"/>
    <w:rsid w:val="00A55770"/>
    <w:rsid w:val="00A5579F"/>
    <w:rsid w:val="00A572BB"/>
    <w:rsid w:val="00A60A87"/>
    <w:rsid w:val="00A62924"/>
    <w:rsid w:val="00A650F9"/>
    <w:rsid w:val="00A666C2"/>
    <w:rsid w:val="00A67531"/>
    <w:rsid w:val="00A7073F"/>
    <w:rsid w:val="00A72728"/>
    <w:rsid w:val="00A731CC"/>
    <w:rsid w:val="00A75872"/>
    <w:rsid w:val="00A7635D"/>
    <w:rsid w:val="00A76B7F"/>
    <w:rsid w:val="00A7775E"/>
    <w:rsid w:val="00A83756"/>
    <w:rsid w:val="00A85F85"/>
    <w:rsid w:val="00A91384"/>
    <w:rsid w:val="00A913C4"/>
    <w:rsid w:val="00A91A5F"/>
    <w:rsid w:val="00A92F81"/>
    <w:rsid w:val="00A93C0A"/>
    <w:rsid w:val="00A958B8"/>
    <w:rsid w:val="00AA1E46"/>
    <w:rsid w:val="00AA462E"/>
    <w:rsid w:val="00AB14F8"/>
    <w:rsid w:val="00AB2725"/>
    <w:rsid w:val="00AB3148"/>
    <w:rsid w:val="00AB3320"/>
    <w:rsid w:val="00AB34E8"/>
    <w:rsid w:val="00AB376B"/>
    <w:rsid w:val="00AB5230"/>
    <w:rsid w:val="00AB537F"/>
    <w:rsid w:val="00AC0796"/>
    <w:rsid w:val="00AC0D9B"/>
    <w:rsid w:val="00AC1081"/>
    <w:rsid w:val="00AC13D1"/>
    <w:rsid w:val="00AC184E"/>
    <w:rsid w:val="00AC28C5"/>
    <w:rsid w:val="00AC3246"/>
    <w:rsid w:val="00AC47EC"/>
    <w:rsid w:val="00AC55B0"/>
    <w:rsid w:val="00AC6D08"/>
    <w:rsid w:val="00AC7207"/>
    <w:rsid w:val="00AD04F4"/>
    <w:rsid w:val="00AD266A"/>
    <w:rsid w:val="00AD28C4"/>
    <w:rsid w:val="00AD405C"/>
    <w:rsid w:val="00AD41B7"/>
    <w:rsid w:val="00AD4443"/>
    <w:rsid w:val="00AD56C8"/>
    <w:rsid w:val="00AD657A"/>
    <w:rsid w:val="00AD755B"/>
    <w:rsid w:val="00AE14BD"/>
    <w:rsid w:val="00AE2921"/>
    <w:rsid w:val="00AE3C79"/>
    <w:rsid w:val="00AE5083"/>
    <w:rsid w:val="00AE52A2"/>
    <w:rsid w:val="00AE67B1"/>
    <w:rsid w:val="00AE7DBB"/>
    <w:rsid w:val="00AF0F44"/>
    <w:rsid w:val="00AF1466"/>
    <w:rsid w:val="00B010A8"/>
    <w:rsid w:val="00B0254F"/>
    <w:rsid w:val="00B03A00"/>
    <w:rsid w:val="00B04C36"/>
    <w:rsid w:val="00B07C26"/>
    <w:rsid w:val="00B10F91"/>
    <w:rsid w:val="00B111D3"/>
    <w:rsid w:val="00B11B06"/>
    <w:rsid w:val="00B11F12"/>
    <w:rsid w:val="00B162A6"/>
    <w:rsid w:val="00B170E2"/>
    <w:rsid w:val="00B22C2E"/>
    <w:rsid w:val="00B307AD"/>
    <w:rsid w:val="00B33AC9"/>
    <w:rsid w:val="00B34DB3"/>
    <w:rsid w:val="00B35F1B"/>
    <w:rsid w:val="00B37B1A"/>
    <w:rsid w:val="00B454B4"/>
    <w:rsid w:val="00B45F38"/>
    <w:rsid w:val="00B4615E"/>
    <w:rsid w:val="00B46C36"/>
    <w:rsid w:val="00B51025"/>
    <w:rsid w:val="00B51F59"/>
    <w:rsid w:val="00B52746"/>
    <w:rsid w:val="00B53F21"/>
    <w:rsid w:val="00B55A65"/>
    <w:rsid w:val="00B574BD"/>
    <w:rsid w:val="00B60899"/>
    <w:rsid w:val="00B62139"/>
    <w:rsid w:val="00B62A3E"/>
    <w:rsid w:val="00B63054"/>
    <w:rsid w:val="00B66A93"/>
    <w:rsid w:val="00B701F1"/>
    <w:rsid w:val="00B715A0"/>
    <w:rsid w:val="00B7214D"/>
    <w:rsid w:val="00B72F25"/>
    <w:rsid w:val="00B73994"/>
    <w:rsid w:val="00B7426D"/>
    <w:rsid w:val="00B747C9"/>
    <w:rsid w:val="00B74822"/>
    <w:rsid w:val="00B771DA"/>
    <w:rsid w:val="00B77AD5"/>
    <w:rsid w:val="00B80143"/>
    <w:rsid w:val="00B8186F"/>
    <w:rsid w:val="00B81917"/>
    <w:rsid w:val="00B81C28"/>
    <w:rsid w:val="00B82C4B"/>
    <w:rsid w:val="00B83576"/>
    <w:rsid w:val="00B84162"/>
    <w:rsid w:val="00B8422B"/>
    <w:rsid w:val="00B87DC7"/>
    <w:rsid w:val="00B900D2"/>
    <w:rsid w:val="00B90728"/>
    <w:rsid w:val="00B91C1F"/>
    <w:rsid w:val="00B92948"/>
    <w:rsid w:val="00B92FE6"/>
    <w:rsid w:val="00B95E3B"/>
    <w:rsid w:val="00BA38B7"/>
    <w:rsid w:val="00BA4715"/>
    <w:rsid w:val="00BA4943"/>
    <w:rsid w:val="00BA4F91"/>
    <w:rsid w:val="00BA5AE9"/>
    <w:rsid w:val="00BB0079"/>
    <w:rsid w:val="00BB31E6"/>
    <w:rsid w:val="00BB4636"/>
    <w:rsid w:val="00BB557E"/>
    <w:rsid w:val="00BB55CF"/>
    <w:rsid w:val="00BB5E1F"/>
    <w:rsid w:val="00BC1478"/>
    <w:rsid w:val="00BC1A88"/>
    <w:rsid w:val="00BC4C93"/>
    <w:rsid w:val="00BC5F25"/>
    <w:rsid w:val="00BC6065"/>
    <w:rsid w:val="00BC634E"/>
    <w:rsid w:val="00BD0839"/>
    <w:rsid w:val="00BD2B29"/>
    <w:rsid w:val="00BD428C"/>
    <w:rsid w:val="00BD60E9"/>
    <w:rsid w:val="00BD66F9"/>
    <w:rsid w:val="00BD74AE"/>
    <w:rsid w:val="00BD7B18"/>
    <w:rsid w:val="00BD7C54"/>
    <w:rsid w:val="00BD7CAB"/>
    <w:rsid w:val="00BE1179"/>
    <w:rsid w:val="00BE16D4"/>
    <w:rsid w:val="00BE202E"/>
    <w:rsid w:val="00BE30CB"/>
    <w:rsid w:val="00BE726E"/>
    <w:rsid w:val="00BF05E4"/>
    <w:rsid w:val="00BF0823"/>
    <w:rsid w:val="00BF1511"/>
    <w:rsid w:val="00BF1E62"/>
    <w:rsid w:val="00BF2724"/>
    <w:rsid w:val="00BF6708"/>
    <w:rsid w:val="00C0387A"/>
    <w:rsid w:val="00C044FF"/>
    <w:rsid w:val="00C068F3"/>
    <w:rsid w:val="00C06A4B"/>
    <w:rsid w:val="00C07698"/>
    <w:rsid w:val="00C0771A"/>
    <w:rsid w:val="00C1603A"/>
    <w:rsid w:val="00C16D35"/>
    <w:rsid w:val="00C175F6"/>
    <w:rsid w:val="00C20EEB"/>
    <w:rsid w:val="00C24D5B"/>
    <w:rsid w:val="00C25BF7"/>
    <w:rsid w:val="00C30C23"/>
    <w:rsid w:val="00C31189"/>
    <w:rsid w:val="00C32C9B"/>
    <w:rsid w:val="00C33407"/>
    <w:rsid w:val="00C34F14"/>
    <w:rsid w:val="00C352F5"/>
    <w:rsid w:val="00C360B7"/>
    <w:rsid w:val="00C3735C"/>
    <w:rsid w:val="00C41BC0"/>
    <w:rsid w:val="00C426FB"/>
    <w:rsid w:val="00C45EC6"/>
    <w:rsid w:val="00C46348"/>
    <w:rsid w:val="00C46D63"/>
    <w:rsid w:val="00C4720B"/>
    <w:rsid w:val="00C47440"/>
    <w:rsid w:val="00C503D9"/>
    <w:rsid w:val="00C52B81"/>
    <w:rsid w:val="00C53B18"/>
    <w:rsid w:val="00C543AB"/>
    <w:rsid w:val="00C57D25"/>
    <w:rsid w:val="00C600C1"/>
    <w:rsid w:val="00C60A87"/>
    <w:rsid w:val="00C64E82"/>
    <w:rsid w:val="00C67662"/>
    <w:rsid w:val="00C741B0"/>
    <w:rsid w:val="00C7624B"/>
    <w:rsid w:val="00C826FF"/>
    <w:rsid w:val="00C842BD"/>
    <w:rsid w:val="00C852A7"/>
    <w:rsid w:val="00C876D0"/>
    <w:rsid w:val="00C87BB7"/>
    <w:rsid w:val="00C87C39"/>
    <w:rsid w:val="00C91FF8"/>
    <w:rsid w:val="00C93496"/>
    <w:rsid w:val="00C94394"/>
    <w:rsid w:val="00C957FF"/>
    <w:rsid w:val="00C97535"/>
    <w:rsid w:val="00C97A93"/>
    <w:rsid w:val="00CA043C"/>
    <w:rsid w:val="00CA0E6B"/>
    <w:rsid w:val="00CA1062"/>
    <w:rsid w:val="00CA262F"/>
    <w:rsid w:val="00CA3854"/>
    <w:rsid w:val="00CA52E8"/>
    <w:rsid w:val="00CB1B9C"/>
    <w:rsid w:val="00CB42AA"/>
    <w:rsid w:val="00CB4307"/>
    <w:rsid w:val="00CB58F1"/>
    <w:rsid w:val="00CB5C45"/>
    <w:rsid w:val="00CB5C95"/>
    <w:rsid w:val="00CB6CF4"/>
    <w:rsid w:val="00CB7E52"/>
    <w:rsid w:val="00CC4825"/>
    <w:rsid w:val="00CC7799"/>
    <w:rsid w:val="00CD06A1"/>
    <w:rsid w:val="00CD27EC"/>
    <w:rsid w:val="00CD4AF7"/>
    <w:rsid w:val="00CD4D12"/>
    <w:rsid w:val="00CD6230"/>
    <w:rsid w:val="00CD79C7"/>
    <w:rsid w:val="00CE0D8E"/>
    <w:rsid w:val="00CE1E1D"/>
    <w:rsid w:val="00CE2B6F"/>
    <w:rsid w:val="00CE2C86"/>
    <w:rsid w:val="00CE3885"/>
    <w:rsid w:val="00CE51F9"/>
    <w:rsid w:val="00CF037B"/>
    <w:rsid w:val="00CF2B35"/>
    <w:rsid w:val="00CF370E"/>
    <w:rsid w:val="00CF3715"/>
    <w:rsid w:val="00CF380A"/>
    <w:rsid w:val="00CF6A32"/>
    <w:rsid w:val="00D0154F"/>
    <w:rsid w:val="00D05AC6"/>
    <w:rsid w:val="00D1273C"/>
    <w:rsid w:val="00D15476"/>
    <w:rsid w:val="00D172D8"/>
    <w:rsid w:val="00D21665"/>
    <w:rsid w:val="00D2178B"/>
    <w:rsid w:val="00D23ECD"/>
    <w:rsid w:val="00D24231"/>
    <w:rsid w:val="00D24381"/>
    <w:rsid w:val="00D245FB"/>
    <w:rsid w:val="00D248B6"/>
    <w:rsid w:val="00D25EB8"/>
    <w:rsid w:val="00D27222"/>
    <w:rsid w:val="00D307A1"/>
    <w:rsid w:val="00D31847"/>
    <w:rsid w:val="00D31F8A"/>
    <w:rsid w:val="00D33012"/>
    <w:rsid w:val="00D333E9"/>
    <w:rsid w:val="00D3347E"/>
    <w:rsid w:val="00D3359C"/>
    <w:rsid w:val="00D33D85"/>
    <w:rsid w:val="00D346A8"/>
    <w:rsid w:val="00D3571C"/>
    <w:rsid w:val="00D379DC"/>
    <w:rsid w:val="00D413DB"/>
    <w:rsid w:val="00D46DCE"/>
    <w:rsid w:val="00D50CB8"/>
    <w:rsid w:val="00D51164"/>
    <w:rsid w:val="00D53185"/>
    <w:rsid w:val="00D539CE"/>
    <w:rsid w:val="00D53D6D"/>
    <w:rsid w:val="00D53DEE"/>
    <w:rsid w:val="00D542FE"/>
    <w:rsid w:val="00D56795"/>
    <w:rsid w:val="00D62ED4"/>
    <w:rsid w:val="00D63415"/>
    <w:rsid w:val="00D63D4B"/>
    <w:rsid w:val="00D64495"/>
    <w:rsid w:val="00D66BA1"/>
    <w:rsid w:val="00D67E1C"/>
    <w:rsid w:val="00D71366"/>
    <w:rsid w:val="00D71538"/>
    <w:rsid w:val="00D72291"/>
    <w:rsid w:val="00D756C3"/>
    <w:rsid w:val="00D760DD"/>
    <w:rsid w:val="00D77CFA"/>
    <w:rsid w:val="00D82A67"/>
    <w:rsid w:val="00D8515B"/>
    <w:rsid w:val="00D86B76"/>
    <w:rsid w:val="00D9015D"/>
    <w:rsid w:val="00D930D8"/>
    <w:rsid w:val="00D94854"/>
    <w:rsid w:val="00D952C5"/>
    <w:rsid w:val="00D967A3"/>
    <w:rsid w:val="00D96D0A"/>
    <w:rsid w:val="00DA138E"/>
    <w:rsid w:val="00DA190F"/>
    <w:rsid w:val="00DA2674"/>
    <w:rsid w:val="00DA268B"/>
    <w:rsid w:val="00DA2A46"/>
    <w:rsid w:val="00DA5D93"/>
    <w:rsid w:val="00DB0EA5"/>
    <w:rsid w:val="00DB44ED"/>
    <w:rsid w:val="00DB4E58"/>
    <w:rsid w:val="00DB5FD3"/>
    <w:rsid w:val="00DB6F66"/>
    <w:rsid w:val="00DB7AD7"/>
    <w:rsid w:val="00DC1A15"/>
    <w:rsid w:val="00DC2C94"/>
    <w:rsid w:val="00DC2E4F"/>
    <w:rsid w:val="00DC3CF8"/>
    <w:rsid w:val="00DC4B8F"/>
    <w:rsid w:val="00DC5F56"/>
    <w:rsid w:val="00DC6126"/>
    <w:rsid w:val="00DC6883"/>
    <w:rsid w:val="00DC759D"/>
    <w:rsid w:val="00DD0320"/>
    <w:rsid w:val="00DD0382"/>
    <w:rsid w:val="00DD368C"/>
    <w:rsid w:val="00DD4330"/>
    <w:rsid w:val="00DD46D3"/>
    <w:rsid w:val="00DD52FF"/>
    <w:rsid w:val="00DD53E3"/>
    <w:rsid w:val="00DE0A46"/>
    <w:rsid w:val="00DE4CFB"/>
    <w:rsid w:val="00DE58C0"/>
    <w:rsid w:val="00DE7667"/>
    <w:rsid w:val="00DF1214"/>
    <w:rsid w:val="00DF1FDB"/>
    <w:rsid w:val="00DF42BF"/>
    <w:rsid w:val="00DF4532"/>
    <w:rsid w:val="00DF4548"/>
    <w:rsid w:val="00DF4D94"/>
    <w:rsid w:val="00DF55B3"/>
    <w:rsid w:val="00DF6088"/>
    <w:rsid w:val="00DF6393"/>
    <w:rsid w:val="00DF6722"/>
    <w:rsid w:val="00DF67F9"/>
    <w:rsid w:val="00E00BC2"/>
    <w:rsid w:val="00E015BE"/>
    <w:rsid w:val="00E02D86"/>
    <w:rsid w:val="00E0627B"/>
    <w:rsid w:val="00E06A79"/>
    <w:rsid w:val="00E07ED7"/>
    <w:rsid w:val="00E11047"/>
    <w:rsid w:val="00E1175C"/>
    <w:rsid w:val="00E12AF7"/>
    <w:rsid w:val="00E12E7D"/>
    <w:rsid w:val="00E131F9"/>
    <w:rsid w:val="00E14914"/>
    <w:rsid w:val="00E149B7"/>
    <w:rsid w:val="00E159AE"/>
    <w:rsid w:val="00E16680"/>
    <w:rsid w:val="00E16ABF"/>
    <w:rsid w:val="00E170D8"/>
    <w:rsid w:val="00E211FA"/>
    <w:rsid w:val="00E24D8A"/>
    <w:rsid w:val="00E25D42"/>
    <w:rsid w:val="00E26B00"/>
    <w:rsid w:val="00E27746"/>
    <w:rsid w:val="00E30A7F"/>
    <w:rsid w:val="00E30A88"/>
    <w:rsid w:val="00E349C2"/>
    <w:rsid w:val="00E34C54"/>
    <w:rsid w:val="00E35F5E"/>
    <w:rsid w:val="00E36F03"/>
    <w:rsid w:val="00E3791A"/>
    <w:rsid w:val="00E37974"/>
    <w:rsid w:val="00E41633"/>
    <w:rsid w:val="00E41E97"/>
    <w:rsid w:val="00E45347"/>
    <w:rsid w:val="00E470F2"/>
    <w:rsid w:val="00E52A93"/>
    <w:rsid w:val="00E535DC"/>
    <w:rsid w:val="00E53A3B"/>
    <w:rsid w:val="00E54012"/>
    <w:rsid w:val="00E54778"/>
    <w:rsid w:val="00E5495D"/>
    <w:rsid w:val="00E60275"/>
    <w:rsid w:val="00E60F1F"/>
    <w:rsid w:val="00E63CBA"/>
    <w:rsid w:val="00E723CF"/>
    <w:rsid w:val="00E72691"/>
    <w:rsid w:val="00E73C08"/>
    <w:rsid w:val="00E7489F"/>
    <w:rsid w:val="00E75262"/>
    <w:rsid w:val="00E75AE0"/>
    <w:rsid w:val="00E83D95"/>
    <w:rsid w:val="00E843BE"/>
    <w:rsid w:val="00E86671"/>
    <w:rsid w:val="00E8798A"/>
    <w:rsid w:val="00E91AD2"/>
    <w:rsid w:val="00E92FFF"/>
    <w:rsid w:val="00E9311A"/>
    <w:rsid w:val="00E9336C"/>
    <w:rsid w:val="00E9344C"/>
    <w:rsid w:val="00E950A0"/>
    <w:rsid w:val="00E95334"/>
    <w:rsid w:val="00EA0589"/>
    <w:rsid w:val="00EA1D33"/>
    <w:rsid w:val="00EA2680"/>
    <w:rsid w:val="00EA4498"/>
    <w:rsid w:val="00EA6C52"/>
    <w:rsid w:val="00EA6FC1"/>
    <w:rsid w:val="00EB0574"/>
    <w:rsid w:val="00EB2875"/>
    <w:rsid w:val="00EB2FDF"/>
    <w:rsid w:val="00EB43A3"/>
    <w:rsid w:val="00EB5E29"/>
    <w:rsid w:val="00EB678D"/>
    <w:rsid w:val="00EB6DBE"/>
    <w:rsid w:val="00EB73F8"/>
    <w:rsid w:val="00EC0C6C"/>
    <w:rsid w:val="00EC255D"/>
    <w:rsid w:val="00EC4356"/>
    <w:rsid w:val="00EC528A"/>
    <w:rsid w:val="00EC54C2"/>
    <w:rsid w:val="00EC555F"/>
    <w:rsid w:val="00EC59AF"/>
    <w:rsid w:val="00EC6C5C"/>
    <w:rsid w:val="00ED16D9"/>
    <w:rsid w:val="00ED3E7F"/>
    <w:rsid w:val="00ED3F8D"/>
    <w:rsid w:val="00ED412D"/>
    <w:rsid w:val="00ED556B"/>
    <w:rsid w:val="00EE0CE0"/>
    <w:rsid w:val="00EE480A"/>
    <w:rsid w:val="00EE57EC"/>
    <w:rsid w:val="00EE59AB"/>
    <w:rsid w:val="00EE6A61"/>
    <w:rsid w:val="00EE70EC"/>
    <w:rsid w:val="00EF0769"/>
    <w:rsid w:val="00EF3584"/>
    <w:rsid w:val="00EF7580"/>
    <w:rsid w:val="00F00C34"/>
    <w:rsid w:val="00F00E4A"/>
    <w:rsid w:val="00F03B88"/>
    <w:rsid w:val="00F04CB6"/>
    <w:rsid w:val="00F0622C"/>
    <w:rsid w:val="00F0774B"/>
    <w:rsid w:val="00F1080F"/>
    <w:rsid w:val="00F17350"/>
    <w:rsid w:val="00F17F9C"/>
    <w:rsid w:val="00F21A5B"/>
    <w:rsid w:val="00F23D12"/>
    <w:rsid w:val="00F2476D"/>
    <w:rsid w:val="00F279FC"/>
    <w:rsid w:val="00F30FAA"/>
    <w:rsid w:val="00F34715"/>
    <w:rsid w:val="00F34A18"/>
    <w:rsid w:val="00F34DDE"/>
    <w:rsid w:val="00F36A7C"/>
    <w:rsid w:val="00F37325"/>
    <w:rsid w:val="00F37DA9"/>
    <w:rsid w:val="00F416DA"/>
    <w:rsid w:val="00F429A8"/>
    <w:rsid w:val="00F45F62"/>
    <w:rsid w:val="00F47FCB"/>
    <w:rsid w:val="00F5257E"/>
    <w:rsid w:val="00F5449A"/>
    <w:rsid w:val="00F5675D"/>
    <w:rsid w:val="00F606F7"/>
    <w:rsid w:val="00F6434C"/>
    <w:rsid w:val="00F65A9C"/>
    <w:rsid w:val="00F65D81"/>
    <w:rsid w:val="00F6654C"/>
    <w:rsid w:val="00F72A9F"/>
    <w:rsid w:val="00F75ACA"/>
    <w:rsid w:val="00F75B79"/>
    <w:rsid w:val="00F7711F"/>
    <w:rsid w:val="00F80740"/>
    <w:rsid w:val="00F81FD6"/>
    <w:rsid w:val="00F86559"/>
    <w:rsid w:val="00F877C2"/>
    <w:rsid w:val="00F923E2"/>
    <w:rsid w:val="00F96CD3"/>
    <w:rsid w:val="00FA300D"/>
    <w:rsid w:val="00FA473B"/>
    <w:rsid w:val="00FA4BC8"/>
    <w:rsid w:val="00FA534F"/>
    <w:rsid w:val="00FB28FC"/>
    <w:rsid w:val="00FB32D8"/>
    <w:rsid w:val="00FB387E"/>
    <w:rsid w:val="00FB69A6"/>
    <w:rsid w:val="00FB75F8"/>
    <w:rsid w:val="00FC3523"/>
    <w:rsid w:val="00FC3E55"/>
    <w:rsid w:val="00FC40B0"/>
    <w:rsid w:val="00FC6502"/>
    <w:rsid w:val="00FC674A"/>
    <w:rsid w:val="00FC7EE9"/>
    <w:rsid w:val="00FD108F"/>
    <w:rsid w:val="00FD1ABE"/>
    <w:rsid w:val="00FD252E"/>
    <w:rsid w:val="00FD26E6"/>
    <w:rsid w:val="00FD2FC4"/>
    <w:rsid w:val="00FD432D"/>
    <w:rsid w:val="00FD482B"/>
    <w:rsid w:val="00FD6A00"/>
    <w:rsid w:val="00FE0124"/>
    <w:rsid w:val="00FE3CC4"/>
    <w:rsid w:val="00FF05D4"/>
    <w:rsid w:val="00FF4033"/>
    <w:rsid w:val="00FF5373"/>
    <w:rsid w:val="00FF6439"/>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79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 w:type="paragraph" w:styleId="Title">
    <w:name w:val="Title"/>
    <w:basedOn w:val="Normal"/>
    <w:next w:val="Normal"/>
    <w:link w:val="TitleChar"/>
    <w:uiPriority w:val="10"/>
    <w:qFormat/>
    <w:rsid w:val="0097166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166A"/>
    <w:rPr>
      <w:rFonts w:asciiTheme="majorHAnsi" w:eastAsiaTheme="majorEastAsia" w:hAnsiTheme="majorHAnsi" w:cstheme="majorBidi"/>
      <w:spacing w:val="-10"/>
      <w:kern w:val="28"/>
      <w:sz w:val="56"/>
      <w:szCs w:val="56"/>
      <w14:ligatures w14:val="standardContextual"/>
    </w:rPr>
  </w:style>
  <w:style w:type="paragraph" w:customStyle="1" w:styleId="p1">
    <w:name w:val="p1"/>
    <w:basedOn w:val="Normal"/>
    <w:rsid w:val="00AD04F4"/>
    <w:pPr>
      <w:spacing w:before="100" w:beforeAutospacing="1" w:after="100" w:afterAutospacing="1"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malia.procurement@savethechildre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alia.Tenders@savethechildren.org" TargetMode="External"/><Relationship Id="rId5" Type="http://schemas.openxmlformats.org/officeDocument/2006/relationships/numbering" Target="numbering.xml"/><Relationship Id="rId15" Type="http://schemas.openxmlformats.org/officeDocument/2006/relationships/hyperlink" Target="https://www.contenthubsavethechildren.org/AssetLink/7232150df5di2w8m163s334y22yu75f7.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4.xml><?xml version="1.0" encoding="utf-8"?>
<ds:datastoreItem xmlns:ds="http://schemas.openxmlformats.org/officeDocument/2006/customXml" ds:itemID="{59CD401E-8A73-4C92-BE2A-4AFF271CE61F}">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26</TotalTime>
  <Pages>10</Pages>
  <Words>3519</Words>
  <Characters>20063</Characters>
  <Application>Microsoft Office Word</Application>
  <DocSecurity>0</DocSecurity>
  <Lines>167</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23535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Mohamed, Hamsa</cp:lastModifiedBy>
  <cp:revision>21</cp:revision>
  <cp:lastPrinted>2022-08-29T08:52:00Z</cp:lastPrinted>
  <dcterms:created xsi:type="dcterms:W3CDTF">2026-08-31T06:10:00Z</dcterms:created>
  <dcterms:modified xsi:type="dcterms:W3CDTF">2026-08-31T12:49:00Z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ies>
</file>