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75B6782">
      <w:pPr>
        <w:pStyle w:val="style0"/>
        <w:spacing w:before="100" w:beforeAutospacing="true" w:after="100" w:afterAutospacing="true" w:lineRule="auto" w:line="360"/>
        <w:jc w:val="center"/>
        <w:rPr>
          <w:rFonts w:ascii="Times New Roman" w:cs="Times New Roman" w:eastAsia="Times New Roman" w:hAnsi="Times New Roman"/>
          <w:b/>
          <w:bCs/>
          <w:sz w:val="28"/>
          <w:szCs w:val="28"/>
          <w:lang w:eastAsia="en-GB"/>
        </w:rPr>
      </w:pPr>
      <w:r>
        <w:rPr>
          <w:b/>
          <w:noProof/>
          <w:sz w:val="24"/>
        </w:rPr>
        <w:drawing>
          <wp:anchor distT="0" distB="0" distL="0" distR="0" simplePos="false" relativeHeight="3" behindDoc="false" locked="false" layoutInCell="true" allowOverlap="true">
            <wp:simplePos x="0" y="0"/>
            <wp:positionH relativeFrom="margin">
              <wp:posOffset>2209800</wp:posOffset>
            </wp:positionH>
            <wp:positionV relativeFrom="paragraph">
              <wp:posOffset>-571500</wp:posOffset>
            </wp:positionV>
            <wp:extent cx="1037590" cy="1089025"/>
            <wp:effectExtent l="0" t="0" r="0" b="0"/>
            <wp:wrapNone/>
            <wp:docPr id="1026" name="Picture 0" descr="logo 4_0000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1037590" cy="1089025"/>
                    </a:xfrm>
                    <a:prstGeom prst="rect"/>
                  </pic:spPr>
                </pic:pic>
              </a:graphicData>
            </a:graphic>
          </wp:anchor>
        </w:drawing>
      </w:r>
    </w:p>
    <w:p w14:paraId="4D4385DD">
      <w:pPr>
        <w:pStyle w:val="style0"/>
        <w:spacing w:before="100" w:beforeAutospacing="true" w:after="100" w:afterAutospacing="true" w:lineRule="auto" w:line="360"/>
        <w:rPr>
          <w:rFonts w:ascii="Times New Roman" w:cs="Times New Roman" w:eastAsia="Times New Roman" w:hAnsi="Times New Roman"/>
          <w:b/>
          <w:bCs/>
          <w:sz w:val="28"/>
          <w:szCs w:val="28"/>
          <w:lang w:eastAsia="en-GB"/>
        </w:rPr>
      </w:pPr>
      <w:r>
        <w:rPr>
          <w:rFonts w:ascii="Times New Roman" w:cs="Times New Roman" w:eastAsia="Times New Roman" w:hAnsi="Times New Roman"/>
          <w:b/>
          <w:bCs/>
          <w:noProof/>
          <w:sz w:val="28"/>
          <w:szCs w:val="28"/>
          <w:lang w:val="en-US"/>
        </w:rPr>
        <mc:AlternateContent>
          <mc:Choice Requires="wps">
            <w:drawing>
              <wp:anchor distT="0" distB="0" distL="0" distR="0" simplePos="false" relativeHeight="2" behindDoc="false" locked="false" layoutInCell="true" allowOverlap="true">
                <wp:simplePos x="0" y="0"/>
                <wp:positionH relativeFrom="column">
                  <wp:posOffset>-901700</wp:posOffset>
                </wp:positionH>
                <wp:positionV relativeFrom="paragraph">
                  <wp:posOffset>339090</wp:posOffset>
                </wp:positionV>
                <wp:extent cx="7562849" cy="0"/>
                <wp:effectExtent l="0" t="0" r="19050" b="19050"/>
                <wp:wrapNone/>
                <wp:docPr id="1027"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62849" cy="0"/>
                        </a:xfrm>
                        <a:prstGeom prst="line"/>
                        <a:ln cmpd="sng" cap="flat" w="19050">
                          <a:solidFill>
                            <a:srgbClr val="4472c4"/>
                          </a:solidFill>
                          <a:prstDash val="solid"/>
                          <a:miter/>
                          <a:headEnd/>
                          <a:tailEnd/>
                        </a:ln>
                      </wps:spPr>
                      <wps:bodyPr>
                        <a:prstTxWarp prst="textNoShape"/>
                      </wps:bodyPr>
                    </wps:wsp>
                  </a:graphicData>
                </a:graphic>
              </wp:anchor>
            </w:drawing>
          </mc:Choice>
          <mc:Fallback>
            <w:pict>
              <v:line id="1027" filled="f" stroked="t" from="-71.0pt,26.7pt" to="524.5pt,26.7pt" style="position:absolute;z-index:2;mso-position-horizontal-relative:text;mso-position-vertical-relative:text;mso-width-relative:page;mso-height-relative:page;mso-wrap-distance-left:0.0pt;mso-wrap-distance-right:0.0pt;visibility:visible;">
                <v:stroke joinstyle="miter" color="#4472c4" weight="1.5pt"/>
                <v:fill/>
              </v:line>
            </w:pict>
          </mc:Fallback>
        </mc:AlternateContent>
      </w:r>
    </w:p>
    <w:p w14:paraId="32735437">
      <w:pPr>
        <w:pStyle w:val="style0"/>
        <w:spacing w:before="100" w:beforeAutospacing="true" w:after="100" w:afterAutospacing="true" w:lineRule="auto" w:line="360"/>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Subject: Invitation to Bid</w:t>
      </w:r>
      <w:r>
        <w:rPr>
          <w:rFonts w:ascii="Times New Roman" w:cs="Times New Roman" w:eastAsia="Times New Roman" w:hAnsi="Times New Roman"/>
          <w:b/>
          <w:bCs/>
          <w:sz w:val="28"/>
          <w:szCs w:val="28"/>
          <w:lang w:eastAsia="en-GB"/>
        </w:rPr>
        <w:t xml:space="preserve"> </w:t>
      </w:r>
      <w:r>
        <w:rPr>
          <w:rFonts w:ascii="Times New Roman" w:cs="Times New Roman" w:eastAsia="Times New Roman" w:hAnsi="Times New Roman"/>
          <w:b/>
          <w:bCs/>
          <w:sz w:val="28"/>
          <w:szCs w:val="28"/>
          <w:lang w:eastAsia="en-GB"/>
        </w:rPr>
        <w:t>Jowhar</w:t>
      </w:r>
      <w:r>
        <w:rPr>
          <w:rFonts w:ascii="Times New Roman" w:cs="Times New Roman" w:eastAsia="Times New Roman" w:hAnsi="Times New Roman"/>
          <w:b/>
          <w:bCs/>
          <w:sz w:val="28"/>
          <w:szCs w:val="28"/>
          <w:lang w:eastAsia="en-GB"/>
        </w:rPr>
        <w:t xml:space="preserve"> </w:t>
      </w:r>
      <w:r>
        <w:rPr>
          <w:rFonts w:ascii="Times New Roman" w:cs="Times New Roman" w:eastAsia="Times New Roman" w:hAnsi="Times New Roman"/>
          <w:b/>
          <w:bCs/>
          <w:sz w:val="28"/>
          <w:szCs w:val="28"/>
          <w:lang w:eastAsia="en-GB"/>
        </w:rPr>
        <w:t>Solar Street</w:t>
      </w:r>
      <w:r>
        <w:rPr>
          <w:rFonts w:ascii="Times New Roman" w:cs="Times New Roman" w:eastAsia="Times New Roman" w:hAnsi="Times New Roman"/>
          <w:b/>
          <w:bCs/>
          <w:sz w:val="28"/>
          <w:szCs w:val="28"/>
          <w:lang w:eastAsia="en-GB"/>
        </w:rPr>
        <w:t xml:space="preserve"> lights </w:t>
      </w:r>
    </w:p>
    <w:p w14:paraId="0D728F29">
      <w:pPr>
        <w:pStyle w:val="style0"/>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Date:</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9</w:t>
      </w:r>
      <w:bookmarkStart w:id="0" w:name="_GoBack"/>
      <w:bookmarkEnd w:id="0"/>
      <w:r>
        <w:rPr>
          <w:rFonts w:ascii="Times New Roman" w:cs="Times New Roman" w:eastAsia="Times New Roman" w:hAnsi="Times New Roman"/>
          <w:sz w:val="24"/>
          <w:szCs w:val="24"/>
          <w:lang w:eastAsia="en-GB"/>
        </w:rPr>
        <w:t xml:space="preserve"> June 2026</w:t>
      </w:r>
      <w:r>
        <w:rPr>
          <w:rFonts w:ascii="Times New Roman" w:cs="Times New Roman" w:eastAsia="Times New Roman" w:hAnsi="Times New Roman"/>
          <w:sz w:val="24"/>
          <w:szCs w:val="24"/>
          <w:lang w:eastAsia="en-GB"/>
        </w:rPr>
        <w:br/>
      </w:r>
      <w:r>
        <w:rPr>
          <w:rFonts w:ascii="Times New Roman" w:cs="Times New Roman" w:eastAsia="Times New Roman" w:hAnsi="Times New Roman"/>
          <w:b/>
          <w:bCs/>
          <w:sz w:val="24"/>
          <w:szCs w:val="24"/>
          <w:lang w:eastAsia="en-GB"/>
        </w:rPr>
        <w:t>Reference:</w:t>
      </w:r>
      <w:r>
        <w:rPr>
          <w:rFonts w:ascii="Times New Roman" w:cs="Times New Roman" w:eastAsia="Times New Roman" w:hAnsi="Times New Roman"/>
          <w:b/>
          <w:bCs/>
          <w:sz w:val="24"/>
          <w:szCs w:val="24"/>
          <w:lang w:eastAsia="en-GB"/>
        </w:rPr>
        <w:t xml:space="preserve"> Jowhar Solar </w:t>
      </w:r>
      <w:r>
        <w:rPr>
          <w:rFonts w:ascii="Times New Roman" w:cs="Times New Roman" w:eastAsia="Times New Roman" w:hAnsi="Times New Roman"/>
          <w:b/>
          <w:bCs/>
          <w:sz w:val="24"/>
          <w:szCs w:val="24"/>
          <w:lang w:eastAsia="en-GB"/>
        </w:rPr>
        <w:t>Streeting</w:t>
      </w:r>
      <w:r>
        <w:rPr>
          <w:rFonts w:ascii="Times New Roman" w:cs="Times New Roman" w:eastAsia="Times New Roman" w:hAnsi="Times New Roman"/>
          <w:b/>
          <w:bCs/>
          <w:sz w:val="24"/>
          <w:szCs w:val="24"/>
          <w:lang w:eastAsia="en-GB"/>
        </w:rPr>
        <w:t xml:space="preserve"> Lights</w:t>
      </w:r>
      <w:r>
        <w:rPr>
          <w:rFonts w:ascii="Times New Roman" w:cs="Times New Roman" w:eastAsia="Times New Roman" w:hAnsi="Times New Roman"/>
          <w:sz w:val="24"/>
          <w:szCs w:val="24"/>
          <w:lang w:eastAsia="en-GB"/>
        </w:rPr>
        <w:t>–2026</w:t>
      </w:r>
      <w:r>
        <w:rPr>
          <w:rFonts w:ascii="Times New Roman" w:cs="Times New Roman" w:eastAsia="Times New Roman" w:hAnsi="Times New Roman"/>
          <w:sz w:val="24"/>
          <w:szCs w:val="24"/>
          <w:lang w:eastAsia="en-GB"/>
        </w:rPr>
        <w:t xml:space="preserve"> – </w:t>
      </w:r>
      <w:r>
        <w:rPr>
          <w:rFonts w:ascii="Times New Roman" w:cs="Times New Roman" w:eastAsia="Times New Roman" w:hAnsi="Times New Roman"/>
          <w:sz w:val="24"/>
          <w:szCs w:val="24"/>
          <w:lang w:eastAsia="en-GB"/>
        </w:rPr>
        <w:t>Dowlad</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Kaab</w:t>
      </w:r>
      <w:r>
        <w:rPr>
          <w:rFonts w:ascii="Times New Roman" w:cs="Times New Roman" w:eastAsia="Times New Roman" w:hAnsi="Times New Roman"/>
          <w:sz w:val="24"/>
          <w:szCs w:val="24"/>
          <w:lang w:eastAsia="en-GB"/>
        </w:rPr>
        <w:t xml:space="preserve"> Project</w:t>
      </w:r>
      <w:r>
        <w:rPr>
          <w:rFonts w:ascii="Times New Roman" w:cs="Times New Roman" w:eastAsia="Times New Roman" w:hAnsi="Times New Roman"/>
          <w:sz w:val="24"/>
          <w:szCs w:val="24"/>
          <w:lang w:eastAsia="en-GB"/>
        </w:rPr>
        <w:br/>
      </w:r>
      <w:r>
        <w:rPr>
          <w:rFonts w:ascii="Times New Roman" w:cs="Times New Roman" w:eastAsia="Times New Roman" w:hAnsi="Times New Roman"/>
          <w:b/>
          <w:bCs/>
          <w:sz w:val="24"/>
          <w:szCs w:val="24"/>
          <w:lang w:eastAsia="en-GB"/>
        </w:rPr>
        <w:t>Procuring Entity:</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Jowhar</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District</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Hirshabelle</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 xml:space="preserve"> State</w:t>
      </w:r>
      <w:r>
        <w:rPr>
          <w:rFonts w:ascii="Times New Roman" w:cs="Times New Roman" w:eastAsia="Times New Roman" w:hAnsi="Times New Roman"/>
          <w:sz w:val="24"/>
          <w:szCs w:val="24"/>
          <w:lang w:eastAsia="en-GB"/>
        </w:rPr>
        <w:t xml:space="preserve"> of </w:t>
      </w:r>
      <w:r>
        <w:rPr>
          <w:rFonts w:ascii="Times New Roman" w:cs="Times New Roman" w:eastAsia="Times New Roman" w:hAnsi="Times New Roman"/>
          <w:sz w:val="24"/>
          <w:szCs w:val="24"/>
          <w:lang w:eastAsia="en-GB"/>
        </w:rPr>
        <w:t xml:space="preserve"> Somalia</w:t>
      </w:r>
      <w:r>
        <w:rPr>
          <w:rFonts w:ascii="Times New Roman" w:cs="Times New Roman" w:eastAsia="Times New Roman" w:hAnsi="Times New Roman"/>
          <w:sz w:val="24"/>
          <w:szCs w:val="24"/>
          <w:lang w:eastAsia="en-GB"/>
        </w:rPr>
        <w:br/>
      </w:r>
      <w:r>
        <w:rPr>
          <w:rFonts w:ascii="Times New Roman" w:cs="Times New Roman" w:eastAsia="Times New Roman" w:hAnsi="Times New Roman"/>
          <w:b/>
          <w:bCs/>
          <w:sz w:val="24"/>
          <w:szCs w:val="24"/>
          <w:lang w:eastAsia="en-GB"/>
        </w:rPr>
        <w:t>Funding:</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Dowlad</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Kaab</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Program</w:t>
      </w:r>
    </w:p>
    <w:p w14:paraId="7EEACED0">
      <w:pPr>
        <w:pStyle w:val="style0"/>
        <w:spacing w:before="100" w:beforeAutospacing="true" w:after="100" w:afterAutospacing="true" w:lineRule="auto" w:line="360"/>
        <w:outlineLvl w:val="0"/>
        <w:rPr>
          <w:rFonts w:ascii="Times New Roman" w:cs="Times New Roman" w:eastAsia="Times New Roman" w:hAnsi="Times New Roman"/>
          <w:b/>
          <w:bCs/>
          <w:kern w:val="36"/>
          <w:sz w:val="48"/>
          <w:szCs w:val="48"/>
          <w:lang w:eastAsia="en-GB"/>
        </w:rPr>
      </w:pPr>
      <w:r>
        <w:rPr>
          <w:rFonts w:ascii="Times New Roman" w:cs="Times New Roman" w:eastAsia="Times New Roman" w:hAnsi="Times New Roman"/>
          <w:b/>
          <w:bCs/>
          <w:kern w:val="36"/>
          <w:sz w:val="48"/>
          <w:szCs w:val="48"/>
          <w:lang w:eastAsia="en-GB"/>
        </w:rPr>
        <w:t>Invitation to Bid (ITB)</w:t>
      </w:r>
    </w:p>
    <w:p w14:paraId="110D073D">
      <w:pPr>
        <w:pStyle w:val="style0"/>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w:t>
      </w:r>
      <w:r>
        <w:rPr>
          <w:rFonts w:ascii="Times New Roman" w:cs="Times New Roman" w:eastAsia="Times New Roman" w:hAnsi="Times New Roman"/>
          <w:sz w:val="24"/>
          <w:szCs w:val="24"/>
          <w:lang w:eastAsia="en-GB"/>
        </w:rPr>
        <w:t xml:space="preserve">Jowhar District </w:t>
      </w:r>
      <w:r>
        <w:rPr>
          <w:rFonts w:ascii="Times New Roman" w:cs="Times New Roman" w:eastAsia="Times New Roman" w:hAnsi="Times New Roman"/>
          <w:sz w:val="24"/>
          <w:szCs w:val="24"/>
          <w:lang w:eastAsia="en-GB"/>
        </w:rPr>
        <w:t xml:space="preserve">Council invites sealed bids from eligible and qualified companies for the works below. This procurement is financed under the </w:t>
      </w:r>
      <w:r>
        <w:rPr>
          <w:rFonts w:ascii="Times New Roman" w:cs="Times New Roman" w:eastAsia="Times New Roman" w:hAnsi="Times New Roman"/>
          <w:b/>
          <w:bCs/>
          <w:sz w:val="24"/>
          <w:szCs w:val="24"/>
          <w:lang w:eastAsia="en-GB"/>
        </w:rPr>
        <w:t>Dowlad</w:t>
      </w:r>
      <w:r>
        <w:rPr>
          <w:rFonts w:ascii="Times New Roman" w:cs="Times New Roman" w:eastAsia="Times New Roman" w:hAnsi="Times New Roman"/>
          <w:b/>
          <w:bCs/>
          <w:sz w:val="24"/>
          <w:szCs w:val="24"/>
          <w:lang w:eastAsia="en-GB"/>
        </w:rPr>
        <w:t xml:space="preserve"> </w:t>
      </w:r>
      <w:r>
        <w:rPr>
          <w:rFonts w:ascii="Times New Roman" w:cs="Times New Roman" w:eastAsia="Times New Roman" w:hAnsi="Times New Roman"/>
          <w:b/>
          <w:bCs/>
          <w:sz w:val="24"/>
          <w:szCs w:val="24"/>
          <w:lang w:eastAsia="en-GB"/>
        </w:rPr>
        <w:t>Kaab</w:t>
      </w:r>
      <w:r>
        <w:rPr>
          <w:rFonts w:ascii="Times New Roman" w:cs="Times New Roman" w:eastAsia="Times New Roman" w:hAnsi="Times New Roman"/>
          <w:b/>
          <w:bCs/>
          <w:sz w:val="24"/>
          <w:szCs w:val="24"/>
          <w:lang w:eastAsia="en-GB"/>
        </w:rPr>
        <w:t xml:space="preserve"> </w:t>
      </w:r>
      <w:r>
        <w:rPr>
          <w:rFonts w:ascii="Times New Roman" w:cs="Times New Roman" w:eastAsia="Times New Roman" w:hAnsi="Times New Roman"/>
          <w:b/>
          <w:bCs/>
          <w:sz w:val="24"/>
          <w:szCs w:val="24"/>
          <w:lang w:eastAsia="en-GB"/>
        </w:rPr>
        <w:t>Program</w:t>
      </w:r>
      <w:r>
        <w:rPr>
          <w:rFonts w:ascii="Times New Roman" w:cs="Times New Roman" w:eastAsia="Times New Roman" w:hAnsi="Times New Roman"/>
          <w:sz w:val="24"/>
          <w:szCs w:val="24"/>
          <w:lang w:eastAsia="en-GB"/>
        </w:rPr>
        <w:t>.</w:t>
      </w:r>
    </w:p>
    <w:p w14:paraId="095DD8D3">
      <w:pPr>
        <w:pStyle w:val="style0"/>
        <w:spacing w:beforeAutospacing="true" w:after="100" w:afterAutospacing="true" w:lineRule="auto" w:line="360"/>
        <w:rPr>
          <w:rFonts w:ascii="Times New Roman" w:cs="Times New Roman" w:eastAsia="Times New Roman" w:hAnsi="Times New Roman"/>
          <w:b/>
          <w:bCs/>
          <w:kern w:val="36"/>
          <w:sz w:val="32"/>
          <w:szCs w:val="32"/>
          <w:lang w:eastAsia="en-GB"/>
        </w:rPr>
      </w:pPr>
      <w:r>
        <w:rPr>
          <w:rFonts w:ascii="Times New Roman" w:cs="Times New Roman" w:eastAsia="Times New Roman" w:hAnsi="Times New Roman"/>
          <w:b/>
          <w:bCs/>
          <w:kern w:val="36"/>
          <w:sz w:val="32"/>
          <w:szCs w:val="32"/>
          <w:lang w:eastAsia="en-GB"/>
        </w:rPr>
        <w:t>Installation of Solar streetlights in Jowhar</w:t>
      </w:r>
    </w:p>
    <w:p w14:paraId="6AA8D5C8">
      <w:pPr>
        <w:pStyle w:val="style0"/>
        <w:spacing w:beforeAutospacing="true" w:after="100" w:afterAutospacing="true" w:lineRule="auto" w:line="360"/>
        <w:rPr>
          <w:rFonts w:ascii="Arial" w:cs="Arial" w:hAnsi="Arial"/>
          <w:b/>
          <w:bCs/>
          <w:i/>
          <w:lang w:val="en-US"/>
        </w:rPr>
      </w:pPr>
      <w:r>
        <w:rPr>
          <w:rFonts w:ascii="Arial" w:cs="Arial" w:hAnsi="Arial"/>
          <w:b/>
          <w:bCs/>
          <w:i/>
          <w:lang w:val="en-US"/>
        </w:rPr>
        <w:t>Scope of Work</w:t>
      </w:r>
      <w:r>
        <w:rPr>
          <w:rFonts w:ascii="Arial" w:cs="Arial" w:hAnsi="Arial"/>
          <w:b/>
          <w:bCs/>
          <w:i/>
          <w:lang w:val="en-US"/>
        </w:rPr>
        <w:t xml:space="preserve"> </w:t>
      </w:r>
    </w:p>
    <w:p w14:paraId="3CD1F042">
      <w:pPr>
        <w:pStyle w:val="style94"/>
        <w:spacing w:lineRule="auto" w:line="276"/>
        <w:jc w:val="both"/>
        <w:rPr/>
      </w:pPr>
      <w:r>
        <w:t>The scope also includes the provision of labor, materials, equipment, transportation, quality control testing, site safety measures, and environmental protection activities. The contractor shall ensure that all works are executed in accordance with the approved drawings, Bill of Quantities (</w:t>
      </w:r>
      <w:r>
        <w:t>BoQ</w:t>
      </w:r>
      <w:r>
        <w:t xml:space="preserve">), technical specifications, and instructions of the supervising engineer to deliver </w:t>
      </w:r>
      <w:r>
        <w:t>a durable</w:t>
      </w:r>
      <w:r>
        <w:t xml:space="preserve"> and safe security street </w:t>
      </w:r>
      <w:r>
        <w:t>in</w:t>
      </w:r>
      <w:r>
        <w:t xml:space="preserve"> </w:t>
      </w:r>
      <w:r>
        <w:t>Jowhar</w:t>
      </w:r>
      <w:r>
        <w:t xml:space="preserve"> District.</w:t>
      </w:r>
    </w:p>
    <w:p w14:paraId="1B463FAA">
      <w:pPr>
        <w:pStyle w:val="style0"/>
        <w:spacing w:beforeAutospacing="true" w:after="100" w:afterAutospacing="true" w:lineRule="auto" w:line="360"/>
        <w:rPr>
          <w:rFonts w:ascii="Times New Roman" w:cs="Times New Roman" w:eastAsia="Times New Roman" w:hAnsi="Times New Roman"/>
          <w:b/>
          <w:bCs/>
          <w:kern w:val="36"/>
          <w:sz w:val="32"/>
          <w:szCs w:val="32"/>
          <w:lang w:eastAsia="en-GB"/>
        </w:rPr>
      </w:pPr>
      <w:r>
        <w:rPr>
          <w:rFonts w:ascii="Times New Roman" w:cs="Times New Roman" w:eastAsia="Times New Roman" w:hAnsi="Times New Roman"/>
          <w:b/>
          <w:bCs/>
          <w:kern w:val="36"/>
          <w:sz w:val="32"/>
          <w:szCs w:val="32"/>
          <w:lang w:eastAsia="en-GB"/>
        </w:rPr>
        <w:t>Availability of Bidding Documents</w:t>
      </w:r>
    </w:p>
    <w:p w14:paraId="71051DDE">
      <w:pPr>
        <w:pStyle w:val="style0"/>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Bidding Documents are available at the </w:t>
      </w:r>
      <w:r>
        <w:rPr>
          <w:rFonts w:ascii="Times New Roman" w:cs="Times New Roman" w:eastAsia="Times New Roman" w:hAnsi="Times New Roman"/>
          <w:b/>
          <w:bCs/>
          <w:sz w:val="24"/>
          <w:szCs w:val="24"/>
          <w:lang w:eastAsia="en-GB"/>
        </w:rPr>
        <w:t>Procuremen</w:t>
      </w:r>
      <w:r>
        <w:rPr>
          <w:rFonts w:ascii="Times New Roman" w:cs="Times New Roman" w:eastAsia="Times New Roman" w:hAnsi="Times New Roman"/>
          <w:b/>
          <w:bCs/>
          <w:sz w:val="24"/>
          <w:szCs w:val="24"/>
          <w:lang w:eastAsia="en-GB"/>
        </w:rPr>
        <w:t xml:space="preserve">t Office, </w:t>
      </w:r>
      <w:r>
        <w:rPr>
          <w:rFonts w:ascii="Times New Roman" w:cs="Times New Roman" w:eastAsia="Times New Roman" w:hAnsi="Times New Roman"/>
          <w:b/>
          <w:bCs/>
          <w:sz w:val="24"/>
          <w:szCs w:val="24"/>
          <w:lang w:eastAsia="en-GB"/>
        </w:rPr>
        <w:t xml:space="preserve">Jowhar District </w:t>
      </w:r>
      <w:r>
        <w:rPr>
          <w:rFonts w:ascii="Times New Roman" w:cs="Times New Roman" w:eastAsia="Times New Roman" w:hAnsi="Times New Roman"/>
          <w:b/>
          <w:bCs/>
          <w:sz w:val="24"/>
          <w:szCs w:val="24"/>
          <w:lang w:eastAsia="en-GB"/>
        </w:rPr>
        <w:t>Office</w:t>
      </w:r>
      <w:r>
        <w:rPr>
          <w:rFonts w:ascii="Times New Roman" w:cs="Times New Roman" w:eastAsia="Times New Roman" w:hAnsi="Times New Roman"/>
          <w:sz w:val="24"/>
          <w:szCs w:val="24"/>
          <w:lang w:eastAsia="en-GB"/>
        </w:rPr>
        <w:t xml:space="preserve"> at a non-refundable fee of </w:t>
      </w:r>
      <w:r>
        <w:rPr>
          <w:rFonts w:ascii="Times New Roman" w:cs="Times New Roman" w:eastAsia="Times New Roman" w:hAnsi="Times New Roman"/>
          <w:b/>
          <w:bCs/>
          <w:sz w:val="24"/>
          <w:szCs w:val="24"/>
          <w:lang w:eastAsia="en-GB"/>
        </w:rPr>
        <w:t>USD 20</w:t>
      </w:r>
      <w:r>
        <w:rPr>
          <w:rFonts w:ascii="Times New Roman" w:cs="Times New Roman" w:eastAsia="Times New Roman" w:hAnsi="Times New Roman"/>
          <w:sz w:val="24"/>
          <w:szCs w:val="24"/>
          <w:lang w:eastAsia="en-GB"/>
        </w:rPr>
        <w:t xml:space="preserve"> per set. An official receipt will be issued. Bidders </w:t>
      </w:r>
      <w:r>
        <w:rPr>
          <w:rFonts w:ascii="Times New Roman" w:cs="Times New Roman" w:eastAsia="Times New Roman" w:hAnsi="Times New Roman"/>
          <w:b/>
          <w:bCs/>
          <w:sz w:val="24"/>
          <w:szCs w:val="24"/>
          <w:lang w:eastAsia="en-GB"/>
        </w:rPr>
        <w:t>must attach a copy of the receipt</w:t>
      </w:r>
      <w:r>
        <w:rPr>
          <w:rFonts w:ascii="Times New Roman" w:cs="Times New Roman" w:eastAsia="Times New Roman" w:hAnsi="Times New Roman"/>
          <w:sz w:val="24"/>
          <w:szCs w:val="24"/>
          <w:lang w:eastAsia="en-GB"/>
        </w:rPr>
        <w:t xml:space="preserve"> to their bid.</w:t>
      </w:r>
    </w:p>
    <w:p w14:paraId="464B8077">
      <w:pPr>
        <w:pStyle w:val="style0"/>
        <w:spacing w:before="100" w:beforeAutospacing="true" w:after="100" w:afterAutospacing="true" w:lineRule="auto" w:line="360"/>
        <w:rPr>
          <w:rFonts w:ascii="Times New Roman" w:cs="Times New Roman" w:eastAsia="Times New Roman" w:hAnsi="Times New Roman"/>
          <w:sz w:val="24"/>
          <w:szCs w:val="24"/>
          <w:lang w:eastAsia="en-GB"/>
        </w:rPr>
      </w:pPr>
    </w:p>
    <w:p w14:paraId="6C57C7EE">
      <w:pPr>
        <w:pStyle w:val="style0"/>
        <w:spacing w:beforeAutospacing="true" w:after="100" w:afterAutospacing="true" w:lineRule="auto" w:line="360"/>
        <w:rPr>
          <w:rFonts w:ascii="Times New Roman" w:cs="Times New Roman" w:eastAsia="Times New Roman" w:hAnsi="Times New Roman"/>
          <w:b/>
          <w:bCs/>
          <w:kern w:val="36"/>
          <w:sz w:val="32"/>
          <w:szCs w:val="32"/>
          <w:lang w:eastAsia="en-GB"/>
        </w:rPr>
      </w:pPr>
      <w:r>
        <w:rPr>
          <w:rFonts w:ascii="Times New Roman" w:cs="Times New Roman" w:eastAsia="Times New Roman" w:hAnsi="Times New Roman"/>
          <w:b/>
          <w:bCs/>
          <w:kern w:val="36"/>
          <w:sz w:val="32"/>
          <w:szCs w:val="32"/>
          <w:lang w:eastAsia="en-GB"/>
        </w:rPr>
        <w:t>Key Dates (EAT)</w:t>
      </w:r>
    </w:p>
    <w:p w14:paraId="7E9DE015">
      <w:pPr>
        <w:pStyle w:val="style0"/>
        <w:numPr>
          <w:ilvl w:val="0"/>
          <w:numId w:val="1"/>
        </w:numPr>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Issue date:</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10</w:t>
      </w:r>
      <w:r>
        <w:rPr>
          <w:rFonts w:ascii="Times New Roman" w:cs="Times New Roman" w:eastAsia="Times New Roman" w:hAnsi="Times New Roman"/>
          <w:sz w:val="24"/>
          <w:szCs w:val="24"/>
          <w:lang w:eastAsia="en-GB"/>
        </w:rPr>
        <w:t xml:space="preserve"> June 2026</w:t>
      </w:r>
    </w:p>
    <w:p w14:paraId="09AA71C1">
      <w:pPr>
        <w:pStyle w:val="style0"/>
        <w:numPr>
          <w:ilvl w:val="0"/>
          <w:numId w:val="1"/>
        </w:numPr>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Bid submission deadline:</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b/>
          <w:bCs/>
          <w:sz w:val="24"/>
          <w:szCs w:val="24"/>
          <w:lang w:eastAsia="en-GB"/>
        </w:rPr>
        <w:t xml:space="preserve">12:00 PM, </w:t>
      </w:r>
      <w:r>
        <w:rPr>
          <w:rFonts w:ascii="Times New Roman" w:cs="Times New Roman" w:eastAsia="Times New Roman" w:hAnsi="Times New Roman"/>
          <w:b/>
          <w:bCs/>
          <w:sz w:val="24"/>
          <w:szCs w:val="24"/>
          <w:lang w:eastAsia="en-GB"/>
        </w:rPr>
        <w:t xml:space="preserve">24 </w:t>
      </w:r>
      <w:r>
        <w:rPr>
          <w:rFonts w:ascii="Times New Roman" w:cs="Times New Roman" w:eastAsia="Times New Roman" w:hAnsi="Times New Roman"/>
          <w:b/>
          <w:bCs/>
          <w:sz w:val="24"/>
          <w:szCs w:val="24"/>
          <w:lang w:eastAsia="en-GB"/>
        </w:rPr>
        <w:t>June 2026</w:t>
      </w:r>
    </w:p>
    <w:p w14:paraId="6ADAB0C8">
      <w:pPr>
        <w:pStyle w:val="style0"/>
        <w:numPr>
          <w:ilvl w:val="0"/>
          <w:numId w:val="1"/>
        </w:numPr>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Bid opening:</w:t>
      </w:r>
      <w:r>
        <w:rPr>
          <w:rFonts w:ascii="Times New Roman" w:cs="Times New Roman" w:eastAsia="Times New Roman" w:hAnsi="Times New Roman"/>
          <w:sz w:val="24"/>
          <w:szCs w:val="24"/>
          <w:lang w:eastAsia="en-GB"/>
        </w:rPr>
        <w:t xml:space="preserve"> Immediately after the submission deadline, in the presence of bidders’ representatives who choose to attend, at the </w:t>
      </w:r>
      <w:r>
        <w:rPr>
          <w:rFonts w:ascii="Times New Roman" w:cs="Times New Roman" w:eastAsia="Times New Roman" w:hAnsi="Times New Roman"/>
          <w:b/>
          <w:bCs/>
          <w:sz w:val="24"/>
          <w:szCs w:val="24"/>
          <w:lang w:eastAsia="en-GB"/>
        </w:rPr>
        <w:t xml:space="preserve">Jowhar District </w:t>
      </w:r>
      <w:r>
        <w:rPr>
          <w:rFonts w:ascii="Times New Roman" w:cs="Times New Roman" w:eastAsia="Times New Roman" w:hAnsi="Times New Roman"/>
          <w:b/>
          <w:bCs/>
          <w:sz w:val="24"/>
          <w:szCs w:val="24"/>
          <w:lang w:eastAsia="en-GB"/>
        </w:rPr>
        <w:t>Main Office</w:t>
      </w:r>
      <w:r>
        <w:rPr>
          <w:rFonts w:ascii="Times New Roman" w:cs="Times New Roman" w:eastAsia="Times New Roman" w:hAnsi="Times New Roman"/>
          <w:sz w:val="24"/>
          <w:szCs w:val="24"/>
          <w:lang w:eastAsia="en-GB"/>
        </w:rPr>
        <w:t>.</w:t>
      </w:r>
    </w:p>
    <w:p w14:paraId="62BCE749">
      <w:pPr>
        <w:pStyle w:val="style0"/>
        <w:spacing w:before="100" w:beforeAutospacing="true" w:after="100" w:afterAutospacing="true" w:lineRule="auto" w:line="360"/>
        <w:outlineLvl w:val="1"/>
        <w:rPr>
          <w:rFonts w:ascii="Times New Roman" w:cs="Times New Roman" w:eastAsia="Times New Roman" w:hAnsi="Times New Roman"/>
          <w:b/>
          <w:bCs/>
          <w:sz w:val="36"/>
          <w:szCs w:val="36"/>
          <w:lang w:eastAsia="en-GB"/>
        </w:rPr>
      </w:pPr>
      <w:r>
        <w:rPr>
          <w:rFonts w:ascii="Times New Roman" w:cs="Times New Roman" w:eastAsia="Times New Roman" w:hAnsi="Times New Roman"/>
          <w:b/>
          <w:bCs/>
          <w:kern w:val="36"/>
          <w:sz w:val="32"/>
          <w:szCs w:val="32"/>
          <w:lang w:eastAsia="en-GB"/>
        </w:rPr>
        <w:t>Instructions to Bidders (Summary</w:t>
      </w:r>
      <w:r>
        <w:rPr>
          <w:rFonts w:ascii="Times New Roman" w:cs="Times New Roman" w:eastAsia="Times New Roman" w:hAnsi="Times New Roman"/>
          <w:b/>
          <w:bCs/>
          <w:sz w:val="36"/>
          <w:szCs w:val="36"/>
          <w:lang w:eastAsia="en-GB"/>
        </w:rPr>
        <w:t>)</w:t>
      </w:r>
    </w:p>
    <w:p w14:paraId="0401B477">
      <w:pPr>
        <w:pStyle w:val="style0"/>
        <w:numPr>
          <w:ilvl w:val="0"/>
          <w:numId w:val="3"/>
        </w:numPr>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Prepare your bid </w:t>
      </w:r>
      <w:r>
        <w:rPr>
          <w:rFonts w:ascii="Times New Roman" w:cs="Times New Roman" w:eastAsia="Times New Roman" w:hAnsi="Times New Roman"/>
          <w:b/>
          <w:bCs/>
          <w:sz w:val="24"/>
          <w:szCs w:val="24"/>
          <w:lang w:eastAsia="en-GB"/>
        </w:rPr>
        <w:t>in accordance with the ITB</w:t>
      </w:r>
      <w:r>
        <w:rPr>
          <w:rFonts w:ascii="Times New Roman" w:cs="Times New Roman" w:eastAsia="Times New Roman" w:hAnsi="Times New Roman"/>
          <w:sz w:val="24"/>
          <w:szCs w:val="24"/>
          <w:lang w:eastAsia="en-GB"/>
        </w:rPr>
        <w:t xml:space="preserve"> contained in the Bidding Documents.</w:t>
      </w:r>
    </w:p>
    <w:p w14:paraId="5074DDA5">
      <w:pPr>
        <w:pStyle w:val="style0"/>
        <w:numPr>
          <w:ilvl w:val="0"/>
          <w:numId w:val="3"/>
        </w:numPr>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Submit </w:t>
      </w:r>
      <w:r>
        <w:rPr>
          <w:rFonts w:ascii="Times New Roman" w:cs="Times New Roman" w:eastAsia="Times New Roman" w:hAnsi="Times New Roman"/>
          <w:b/>
          <w:bCs/>
          <w:sz w:val="24"/>
          <w:szCs w:val="24"/>
          <w:lang w:eastAsia="en-GB"/>
        </w:rPr>
        <w:t>hard-copy</w:t>
      </w:r>
      <w:r>
        <w:rPr>
          <w:rFonts w:ascii="Times New Roman" w:cs="Times New Roman" w:eastAsia="Times New Roman" w:hAnsi="Times New Roman"/>
          <w:sz w:val="24"/>
          <w:szCs w:val="24"/>
          <w:lang w:eastAsia="en-GB"/>
        </w:rPr>
        <w:t xml:space="preserve"> sealed bids (one original + one copy) clearly marked with the </w:t>
      </w:r>
      <w:r>
        <w:rPr>
          <w:rFonts w:ascii="Times New Roman" w:cs="Times New Roman" w:eastAsia="Times New Roman" w:hAnsi="Times New Roman"/>
          <w:b/>
          <w:bCs/>
          <w:sz w:val="24"/>
          <w:szCs w:val="24"/>
          <w:lang w:eastAsia="en-GB"/>
        </w:rPr>
        <w:t>Reference</w:t>
      </w:r>
      <w:r>
        <w:rPr>
          <w:rFonts w:ascii="Times New Roman" w:cs="Times New Roman" w:eastAsia="Times New Roman" w:hAnsi="Times New Roman"/>
          <w:sz w:val="24"/>
          <w:szCs w:val="24"/>
          <w:lang w:eastAsia="en-GB"/>
        </w:rPr>
        <w:t xml:space="preserve"> and the </w:t>
      </w:r>
      <w:r>
        <w:rPr>
          <w:rFonts w:ascii="Times New Roman" w:cs="Times New Roman" w:eastAsia="Times New Roman" w:hAnsi="Times New Roman"/>
          <w:b/>
          <w:bCs/>
          <w:sz w:val="24"/>
          <w:szCs w:val="24"/>
          <w:lang w:eastAsia="en-GB"/>
        </w:rPr>
        <w:t>Lot</w:t>
      </w:r>
      <w:r>
        <w:rPr>
          <w:rFonts w:ascii="Times New Roman" w:cs="Times New Roman" w:eastAsia="Times New Roman" w:hAnsi="Times New Roman"/>
          <w:sz w:val="24"/>
          <w:szCs w:val="24"/>
          <w:lang w:eastAsia="en-GB"/>
        </w:rPr>
        <w:t>.</w:t>
      </w:r>
    </w:p>
    <w:p w14:paraId="2E67E76C">
      <w:pPr>
        <w:pStyle w:val="style0"/>
        <w:numPr>
          <w:ilvl w:val="0"/>
          <w:numId w:val="3"/>
        </w:numPr>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Bid validity:</w:t>
      </w:r>
      <w:r>
        <w:rPr>
          <w:rFonts w:ascii="Times New Roman" w:cs="Times New Roman" w:eastAsia="Times New Roman" w:hAnsi="Times New Roman"/>
          <w:sz w:val="24"/>
          <w:szCs w:val="24"/>
          <w:lang w:eastAsia="en-GB"/>
        </w:rPr>
        <w:t xml:space="preserve"> minimum </w:t>
      </w:r>
      <w:r>
        <w:rPr>
          <w:rFonts w:ascii="Times New Roman" w:cs="Times New Roman" w:eastAsia="Times New Roman" w:hAnsi="Times New Roman"/>
          <w:b/>
          <w:bCs/>
          <w:sz w:val="24"/>
          <w:szCs w:val="24"/>
          <w:lang w:eastAsia="en-GB"/>
        </w:rPr>
        <w:t>14</w:t>
      </w:r>
      <w:r>
        <w:rPr>
          <w:rFonts w:ascii="Times New Roman" w:cs="Times New Roman" w:eastAsia="Times New Roman" w:hAnsi="Times New Roman"/>
          <w:b/>
          <w:bCs/>
          <w:sz w:val="24"/>
          <w:szCs w:val="24"/>
          <w:lang w:eastAsia="en-GB"/>
        </w:rPr>
        <w:t xml:space="preserve"> days</w:t>
      </w:r>
      <w:r>
        <w:rPr>
          <w:rFonts w:ascii="Times New Roman" w:cs="Times New Roman" w:eastAsia="Times New Roman" w:hAnsi="Times New Roman"/>
          <w:sz w:val="24"/>
          <w:szCs w:val="24"/>
          <w:lang w:eastAsia="en-GB"/>
        </w:rPr>
        <w:t xml:space="preserve"> from the submission deadline.</w:t>
      </w:r>
    </w:p>
    <w:p w14:paraId="6325E3F6">
      <w:pPr>
        <w:pStyle w:val="style0"/>
        <w:numPr>
          <w:ilvl w:val="0"/>
          <w:numId w:val="3"/>
        </w:numPr>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Late bids will be </w:t>
      </w:r>
      <w:r>
        <w:rPr>
          <w:rFonts w:ascii="Times New Roman" w:cs="Times New Roman" w:eastAsia="Times New Roman" w:hAnsi="Times New Roman"/>
          <w:b/>
          <w:bCs/>
          <w:sz w:val="24"/>
          <w:szCs w:val="24"/>
          <w:lang w:eastAsia="en-GB"/>
        </w:rPr>
        <w:t>rejected</w:t>
      </w:r>
      <w:r>
        <w:rPr>
          <w:rFonts w:ascii="Times New Roman" w:cs="Times New Roman" w:eastAsia="Times New Roman" w:hAnsi="Times New Roman"/>
          <w:sz w:val="24"/>
          <w:szCs w:val="24"/>
          <w:lang w:eastAsia="en-GB"/>
        </w:rPr>
        <w:t>.</w:t>
      </w:r>
    </w:p>
    <w:p w14:paraId="3FA74A61">
      <w:pPr>
        <w:pStyle w:val="style0"/>
        <w:spacing w:before="100" w:beforeAutospacing="true" w:after="100" w:afterAutospacing="true" w:lineRule="auto" w:line="360"/>
        <w:outlineLvl w:val="1"/>
        <w:rPr>
          <w:rFonts w:ascii="Times New Roman" w:cs="Times New Roman" w:eastAsia="Times New Roman" w:hAnsi="Times New Roman"/>
          <w:b/>
          <w:bCs/>
          <w:sz w:val="36"/>
          <w:szCs w:val="36"/>
          <w:lang w:eastAsia="en-GB"/>
        </w:rPr>
      </w:pPr>
      <w:r>
        <w:rPr>
          <w:rFonts w:ascii="Times New Roman" w:cs="Times New Roman" w:eastAsia="Times New Roman" w:hAnsi="Times New Roman"/>
          <w:b/>
          <w:bCs/>
          <w:kern w:val="36"/>
          <w:sz w:val="32"/>
          <w:szCs w:val="32"/>
          <w:lang w:eastAsia="en-GB"/>
        </w:rPr>
        <w:t>Eligibility &amp; Required Documents (attach copies</w:t>
      </w:r>
      <w:r>
        <w:rPr>
          <w:rFonts w:ascii="Times New Roman" w:cs="Times New Roman" w:eastAsia="Times New Roman" w:hAnsi="Times New Roman"/>
          <w:b/>
          <w:bCs/>
          <w:sz w:val="36"/>
          <w:szCs w:val="36"/>
          <w:lang w:eastAsia="en-GB"/>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
        <w:gridCol w:w="2828"/>
        <w:gridCol w:w="5765"/>
      </w:tblGrid>
      <w:tr w14:paraId="70C4ADB5">
        <w:trPr>
          <w:tblHeader/>
          <w:tblCellSpacing w:w="15" w:type="dxa"/>
        </w:trPr>
        <w:tc>
          <w:tcPr>
            <w:tcW w:w="0" w:type="auto"/>
            <w:tcBorders/>
            <w:vAlign w:val="center"/>
            <w:hideMark/>
          </w:tcPr>
          <w:p w14:paraId="0FDD484D">
            <w:pPr>
              <w:pStyle w:val="style0"/>
              <w:spacing w:after="0" w:lineRule="auto" w:line="360"/>
              <w:jc w:val="center"/>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No.</w:t>
            </w:r>
          </w:p>
        </w:tc>
        <w:tc>
          <w:tcPr>
            <w:tcW w:w="0" w:type="auto"/>
            <w:tcBorders/>
            <w:vAlign w:val="center"/>
            <w:hideMark/>
          </w:tcPr>
          <w:p w14:paraId="372B7C61">
            <w:pPr>
              <w:pStyle w:val="style0"/>
              <w:spacing w:after="0" w:lineRule="auto" w:line="360"/>
              <w:jc w:val="center"/>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Type</w:t>
            </w:r>
          </w:p>
        </w:tc>
        <w:tc>
          <w:tcPr>
            <w:tcW w:w="0" w:type="auto"/>
            <w:tcBorders/>
            <w:vAlign w:val="center"/>
            <w:hideMark/>
          </w:tcPr>
          <w:p w14:paraId="1A4F56E1">
            <w:pPr>
              <w:pStyle w:val="style0"/>
              <w:spacing w:after="0" w:lineRule="auto" w:line="360"/>
              <w:jc w:val="center"/>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Description</w:t>
            </w:r>
          </w:p>
        </w:tc>
      </w:tr>
      <w:tr w14:paraId="2596E386">
        <w:tblPrEx/>
        <w:trPr>
          <w:tblCellSpacing w:w="15" w:type="dxa"/>
        </w:trPr>
        <w:tc>
          <w:tcPr>
            <w:tcW w:w="0" w:type="auto"/>
            <w:tcBorders/>
            <w:vAlign w:val="center"/>
            <w:hideMark/>
          </w:tcPr>
          <w:p w14:paraId="4448ECE5">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w:t>
            </w:r>
          </w:p>
        </w:tc>
        <w:tc>
          <w:tcPr>
            <w:tcW w:w="0" w:type="auto"/>
            <w:tcBorders/>
            <w:vAlign w:val="center"/>
            <w:hideMark/>
          </w:tcPr>
          <w:p w14:paraId="3CB4D5A6">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Certificate of Registration</w:t>
            </w:r>
          </w:p>
        </w:tc>
        <w:tc>
          <w:tcPr>
            <w:tcW w:w="0" w:type="auto"/>
            <w:tcBorders/>
            <w:vAlign w:val="center"/>
            <w:hideMark/>
          </w:tcPr>
          <w:p w14:paraId="00750D96">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Issued by </w:t>
            </w:r>
            <w:r>
              <w:rPr>
                <w:rFonts w:ascii="Times New Roman" w:cs="Times New Roman" w:eastAsia="Times New Roman" w:hAnsi="Times New Roman"/>
                <w:b/>
                <w:bCs/>
                <w:sz w:val="24"/>
                <w:szCs w:val="24"/>
                <w:lang w:eastAsia="en-GB"/>
              </w:rPr>
              <w:t xml:space="preserve">Jowhar District </w:t>
            </w:r>
            <w:r>
              <w:rPr>
                <w:rFonts w:ascii="Times New Roman" w:cs="Times New Roman" w:eastAsia="Times New Roman" w:hAnsi="Times New Roman"/>
                <w:b/>
                <w:bCs/>
                <w:sz w:val="24"/>
                <w:szCs w:val="24"/>
                <w:lang w:eastAsia="en-GB"/>
              </w:rPr>
              <w:t>Administration</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Valid for 2026</w:t>
            </w:r>
            <w:r>
              <w:rPr>
                <w:rFonts w:ascii="Times New Roman" w:cs="Times New Roman" w:eastAsia="Times New Roman" w:hAnsi="Times New Roman"/>
                <w:sz w:val="24"/>
                <w:szCs w:val="24"/>
                <w:lang w:eastAsia="en-GB"/>
              </w:rPr>
              <w:t>).</w:t>
            </w:r>
          </w:p>
        </w:tc>
      </w:tr>
      <w:tr w14:paraId="10C6726A">
        <w:tblPrEx/>
        <w:trPr>
          <w:tblCellSpacing w:w="15" w:type="dxa"/>
        </w:trPr>
        <w:tc>
          <w:tcPr>
            <w:tcW w:w="0" w:type="auto"/>
            <w:tcBorders/>
            <w:vAlign w:val="center"/>
            <w:hideMark/>
          </w:tcPr>
          <w:p w14:paraId="28A34FB8">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2</w:t>
            </w:r>
          </w:p>
        </w:tc>
        <w:tc>
          <w:tcPr>
            <w:tcW w:w="0" w:type="auto"/>
            <w:tcBorders/>
            <w:vAlign w:val="center"/>
            <w:hideMark/>
          </w:tcPr>
          <w:p w14:paraId="1C360220">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Company License</w:t>
            </w:r>
          </w:p>
        </w:tc>
        <w:tc>
          <w:tcPr>
            <w:tcW w:w="0" w:type="auto"/>
            <w:tcBorders/>
            <w:vAlign w:val="center"/>
            <w:hideMark/>
          </w:tcPr>
          <w:p w14:paraId="5EFC5143">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From </w:t>
            </w:r>
            <w:r>
              <w:rPr>
                <w:rFonts w:ascii="Times New Roman" w:cs="Times New Roman" w:eastAsia="Times New Roman" w:hAnsi="Times New Roman"/>
                <w:b/>
                <w:bCs/>
                <w:sz w:val="24"/>
                <w:szCs w:val="24"/>
                <w:lang w:eastAsia="en-GB"/>
              </w:rPr>
              <w:t xml:space="preserve">Ministry of </w:t>
            </w:r>
            <w:r>
              <w:rPr>
                <w:rFonts w:ascii="Times New Roman" w:cs="Times New Roman" w:eastAsia="Times New Roman" w:hAnsi="Times New Roman"/>
                <w:b/>
                <w:bCs/>
                <w:sz w:val="24"/>
                <w:szCs w:val="24"/>
                <w:lang w:eastAsia="en-GB"/>
              </w:rPr>
              <w:t xml:space="preserve">Commerce &amp; </w:t>
            </w:r>
            <w:r>
              <w:rPr>
                <w:rFonts w:ascii="Times New Roman" w:cs="Times New Roman" w:eastAsia="Times New Roman" w:hAnsi="Times New Roman"/>
                <w:b/>
                <w:bCs/>
                <w:sz w:val="24"/>
                <w:szCs w:val="24"/>
                <w:lang w:eastAsia="en-GB"/>
              </w:rPr>
              <w:t xml:space="preserve">Public Works, </w:t>
            </w:r>
            <w:r>
              <w:rPr>
                <w:rFonts w:ascii="Times New Roman" w:cs="Times New Roman" w:eastAsia="Times New Roman" w:hAnsi="Times New Roman"/>
                <w:b/>
                <w:bCs/>
                <w:sz w:val="24"/>
                <w:szCs w:val="24"/>
                <w:lang w:eastAsia="en-GB"/>
              </w:rPr>
              <w:t>Hirshabelle</w:t>
            </w:r>
            <w:r>
              <w:rPr>
                <w:rFonts w:ascii="Times New Roman" w:cs="Times New Roman" w:eastAsia="Times New Roman" w:hAnsi="Times New Roman"/>
                <w:b/>
                <w:bCs/>
                <w:sz w:val="24"/>
                <w:szCs w:val="24"/>
                <w:lang w:eastAsia="en-GB"/>
              </w:rPr>
              <w:t xml:space="preserve"> State</w:t>
            </w:r>
            <w:r>
              <w:rPr>
                <w:rFonts w:ascii="Times New Roman" w:cs="Times New Roman" w:eastAsia="Times New Roman" w:hAnsi="Times New Roman"/>
                <w:sz w:val="24"/>
                <w:szCs w:val="24"/>
                <w:lang w:eastAsia="en-GB"/>
              </w:rPr>
              <w:t xml:space="preserve"> (Valid for 2026</w:t>
            </w:r>
            <w:r>
              <w:rPr>
                <w:rFonts w:ascii="Times New Roman" w:cs="Times New Roman" w:eastAsia="Times New Roman" w:hAnsi="Times New Roman"/>
                <w:sz w:val="24"/>
                <w:szCs w:val="24"/>
                <w:lang w:eastAsia="en-GB"/>
              </w:rPr>
              <w:t>).</w:t>
            </w:r>
          </w:p>
        </w:tc>
      </w:tr>
      <w:tr w14:paraId="66F15BA7">
        <w:tblPrEx/>
        <w:trPr>
          <w:tblCellSpacing w:w="15" w:type="dxa"/>
        </w:trPr>
        <w:tc>
          <w:tcPr>
            <w:tcW w:w="0" w:type="auto"/>
            <w:tcBorders/>
            <w:vAlign w:val="center"/>
            <w:hideMark/>
          </w:tcPr>
          <w:p w14:paraId="281FFA11">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3</w:t>
            </w:r>
          </w:p>
        </w:tc>
        <w:tc>
          <w:tcPr>
            <w:tcW w:w="0" w:type="auto"/>
            <w:tcBorders/>
            <w:vAlign w:val="center"/>
            <w:hideMark/>
          </w:tcPr>
          <w:p w14:paraId="6DC9226F">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Tax Compliance Certificate (TCC)</w:t>
            </w:r>
          </w:p>
        </w:tc>
        <w:tc>
          <w:tcPr>
            <w:tcW w:w="0" w:type="auto"/>
            <w:tcBorders/>
            <w:vAlign w:val="center"/>
            <w:hideMark/>
          </w:tcPr>
          <w:p w14:paraId="583AE85F">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From </w:t>
            </w:r>
            <w:r>
              <w:rPr>
                <w:rFonts w:ascii="Times New Roman" w:cs="Times New Roman" w:eastAsia="Times New Roman" w:hAnsi="Times New Roman"/>
                <w:b/>
                <w:bCs/>
                <w:sz w:val="24"/>
                <w:szCs w:val="24"/>
                <w:lang w:eastAsia="en-GB"/>
              </w:rPr>
              <w:t xml:space="preserve">Ministry of Finance, </w:t>
            </w:r>
            <w:r>
              <w:rPr>
                <w:rFonts w:ascii="Times New Roman" w:cs="Times New Roman" w:eastAsia="Times New Roman" w:hAnsi="Times New Roman"/>
                <w:b/>
                <w:bCs/>
                <w:sz w:val="24"/>
                <w:szCs w:val="24"/>
                <w:lang w:eastAsia="en-GB"/>
              </w:rPr>
              <w:t>Hirshabelle</w:t>
            </w:r>
            <w:r>
              <w:rPr>
                <w:rFonts w:ascii="Times New Roman" w:cs="Times New Roman" w:eastAsia="Times New Roman" w:hAnsi="Times New Roman"/>
                <w:b/>
                <w:bCs/>
                <w:sz w:val="24"/>
                <w:szCs w:val="24"/>
                <w:lang w:eastAsia="en-GB"/>
              </w:rPr>
              <w:t xml:space="preserve"> State</w:t>
            </w:r>
            <w:r>
              <w:rPr>
                <w:rFonts w:ascii="Times New Roman" w:cs="Times New Roman" w:eastAsia="Times New Roman" w:hAnsi="Times New Roman"/>
                <w:sz w:val="24"/>
                <w:szCs w:val="24"/>
                <w:lang w:eastAsia="en-GB"/>
              </w:rPr>
              <w:t xml:space="preserve"> (V</w:t>
            </w:r>
            <w:r>
              <w:rPr>
                <w:rFonts w:ascii="Times New Roman" w:cs="Times New Roman" w:eastAsia="Times New Roman" w:hAnsi="Times New Roman"/>
                <w:sz w:val="24"/>
                <w:szCs w:val="24"/>
                <w:lang w:eastAsia="en-GB"/>
              </w:rPr>
              <w:t>alid).</w:t>
            </w:r>
          </w:p>
        </w:tc>
      </w:tr>
      <w:tr w14:paraId="41FA42E4">
        <w:tblPrEx/>
        <w:trPr>
          <w:tblCellSpacing w:w="15" w:type="dxa"/>
        </w:trPr>
        <w:tc>
          <w:tcPr>
            <w:tcW w:w="0" w:type="auto"/>
            <w:tcBorders/>
            <w:vAlign w:val="center"/>
            <w:hideMark/>
          </w:tcPr>
          <w:p w14:paraId="5455F906">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4</w:t>
            </w:r>
          </w:p>
        </w:tc>
        <w:tc>
          <w:tcPr>
            <w:tcW w:w="0" w:type="auto"/>
            <w:tcBorders/>
            <w:vAlign w:val="center"/>
            <w:hideMark/>
          </w:tcPr>
          <w:p w14:paraId="013F2F7A">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Receipt for Bidding Documents</w:t>
            </w:r>
          </w:p>
        </w:tc>
        <w:tc>
          <w:tcPr>
            <w:tcW w:w="0" w:type="auto"/>
            <w:tcBorders/>
            <w:vAlign w:val="center"/>
            <w:hideMark/>
          </w:tcPr>
          <w:p w14:paraId="700D1C0E">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Proof of payment of </w:t>
            </w:r>
            <w:r>
              <w:rPr>
                <w:rFonts w:ascii="Times New Roman" w:cs="Times New Roman" w:eastAsia="Times New Roman" w:hAnsi="Times New Roman"/>
                <w:b/>
                <w:bCs/>
                <w:sz w:val="24"/>
                <w:szCs w:val="24"/>
                <w:lang w:eastAsia="en-GB"/>
              </w:rPr>
              <w:t>USD 20</w:t>
            </w:r>
            <w:r>
              <w:rPr>
                <w:rFonts w:ascii="Times New Roman" w:cs="Times New Roman" w:eastAsia="Times New Roman" w:hAnsi="Times New Roman"/>
                <w:sz w:val="24"/>
                <w:szCs w:val="24"/>
                <w:lang w:eastAsia="en-GB"/>
              </w:rPr>
              <w:t xml:space="preserve"> from </w:t>
            </w:r>
            <w:r>
              <w:rPr>
                <w:rFonts w:ascii="Times New Roman" w:cs="Times New Roman" w:eastAsia="Times New Roman" w:hAnsi="Times New Roman"/>
                <w:sz w:val="24"/>
                <w:szCs w:val="24"/>
                <w:lang w:eastAsia="en-GB"/>
              </w:rPr>
              <w:t xml:space="preserve">Jowhar District </w:t>
            </w:r>
            <w:r>
              <w:rPr>
                <w:rFonts w:ascii="Times New Roman" w:cs="Times New Roman" w:eastAsia="Times New Roman" w:hAnsi="Times New Roman"/>
                <w:sz w:val="24"/>
                <w:szCs w:val="24"/>
                <w:lang w:eastAsia="en-GB"/>
              </w:rPr>
              <w:t>(attach copy).</w:t>
            </w:r>
          </w:p>
        </w:tc>
      </w:tr>
      <w:tr w14:paraId="18E149BC">
        <w:tblPrEx/>
        <w:trPr>
          <w:tblCellSpacing w:w="15" w:type="dxa"/>
        </w:trPr>
        <w:tc>
          <w:tcPr>
            <w:tcW w:w="0" w:type="auto"/>
            <w:tcBorders/>
            <w:vAlign w:val="center"/>
            <w:hideMark/>
          </w:tcPr>
          <w:p w14:paraId="38E5094F">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5</w:t>
            </w:r>
          </w:p>
        </w:tc>
        <w:tc>
          <w:tcPr>
            <w:tcW w:w="0" w:type="auto"/>
            <w:tcBorders/>
            <w:vAlign w:val="center"/>
            <w:hideMark/>
          </w:tcPr>
          <w:p w14:paraId="45A2E56E">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Contracts |&amp; </w:t>
            </w:r>
            <w:r>
              <w:rPr>
                <w:rFonts w:ascii="Times New Roman" w:cs="Times New Roman" w:eastAsia="Times New Roman" w:hAnsi="Times New Roman"/>
                <w:sz w:val="24"/>
                <w:szCs w:val="24"/>
                <w:lang w:eastAsia="en-GB"/>
              </w:rPr>
              <w:t>Certificates of Completion</w:t>
            </w:r>
          </w:p>
        </w:tc>
        <w:tc>
          <w:tcPr>
            <w:tcW w:w="0" w:type="auto"/>
            <w:tcBorders/>
            <w:vAlign w:val="center"/>
            <w:hideMark/>
          </w:tcPr>
          <w:p w14:paraId="15487C9D">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Similar projects</w:t>
            </w:r>
            <w:r>
              <w:rPr>
                <w:rFonts w:ascii="Times New Roman" w:cs="Times New Roman" w:eastAsia="Times New Roman" w:hAnsi="Times New Roman"/>
                <w:sz w:val="24"/>
                <w:szCs w:val="24"/>
                <w:lang w:eastAsia="en-GB"/>
              </w:rPr>
              <w:t xml:space="preserve"> completed in the past </w:t>
            </w:r>
            <w:r>
              <w:rPr>
                <w:rFonts w:ascii="Times New Roman" w:cs="Times New Roman" w:eastAsia="Times New Roman" w:hAnsi="Times New Roman"/>
                <w:b/>
                <w:bCs/>
                <w:sz w:val="24"/>
                <w:szCs w:val="24"/>
                <w:lang w:eastAsia="en-GB"/>
              </w:rPr>
              <w:t>three (3) years</w:t>
            </w:r>
            <w:r>
              <w:rPr>
                <w:rFonts w:ascii="Times New Roman" w:cs="Times New Roman" w:eastAsia="Times New Roman" w:hAnsi="Times New Roman"/>
                <w:sz w:val="24"/>
                <w:szCs w:val="24"/>
                <w:lang w:eastAsia="en-GB"/>
              </w:rPr>
              <w:t xml:space="preserve"> (UN/INGO/Government etc.).</w:t>
            </w:r>
          </w:p>
        </w:tc>
      </w:tr>
      <w:tr w14:paraId="0A81C184">
        <w:tblPrEx/>
        <w:trPr>
          <w:tblCellSpacing w:w="15" w:type="dxa"/>
        </w:trPr>
        <w:tc>
          <w:tcPr>
            <w:tcW w:w="0" w:type="auto"/>
            <w:tcBorders/>
            <w:vAlign w:val="center"/>
            <w:hideMark/>
          </w:tcPr>
          <w:p w14:paraId="15D67BB4">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6</w:t>
            </w:r>
          </w:p>
        </w:tc>
        <w:tc>
          <w:tcPr>
            <w:tcW w:w="0" w:type="auto"/>
            <w:tcBorders/>
            <w:vAlign w:val="center"/>
            <w:hideMark/>
          </w:tcPr>
          <w:p w14:paraId="60546A07">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CV(s) of Key Personnel</w:t>
            </w:r>
          </w:p>
        </w:tc>
        <w:tc>
          <w:tcPr>
            <w:tcW w:w="0" w:type="auto"/>
            <w:tcBorders/>
            <w:vAlign w:val="center"/>
            <w:hideMark/>
          </w:tcPr>
          <w:p w14:paraId="21746CE1">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Project Engineer</w:t>
            </w:r>
            <w:r>
              <w:rPr>
                <w:rFonts w:ascii="Times New Roman" w:cs="Times New Roman" w:eastAsia="Times New Roman" w:hAnsi="Times New Roman"/>
                <w:sz w:val="24"/>
                <w:szCs w:val="24"/>
                <w:lang w:eastAsia="en-GB"/>
              </w:rPr>
              <w:t xml:space="preserve"> (and site supervisor), with academic/registration certificates.</w:t>
            </w:r>
          </w:p>
        </w:tc>
      </w:tr>
      <w:tr w14:paraId="1F5C3E1F">
        <w:tblPrEx/>
        <w:trPr>
          <w:tblCellSpacing w:w="15" w:type="dxa"/>
        </w:trPr>
        <w:tc>
          <w:tcPr>
            <w:tcW w:w="0" w:type="auto"/>
            <w:tcBorders/>
            <w:vAlign w:val="center"/>
            <w:hideMark/>
          </w:tcPr>
          <w:p w14:paraId="2EE9AD43">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w:t>
            </w:r>
          </w:p>
        </w:tc>
        <w:tc>
          <w:tcPr>
            <w:tcW w:w="0" w:type="auto"/>
            <w:tcBorders/>
            <w:vAlign w:val="center"/>
            <w:hideMark/>
          </w:tcPr>
          <w:p w14:paraId="55A8A1AE">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Company Profile</w:t>
            </w:r>
          </w:p>
        </w:tc>
        <w:tc>
          <w:tcPr>
            <w:tcW w:w="0" w:type="auto"/>
            <w:tcBorders/>
            <w:vAlign w:val="center"/>
            <w:hideMark/>
          </w:tcPr>
          <w:p w14:paraId="414F6ED8">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Legal status, ownership, organizational structure, and contact details.</w:t>
            </w:r>
          </w:p>
        </w:tc>
      </w:tr>
      <w:tr w14:paraId="21296921">
        <w:tblPrEx/>
        <w:trPr>
          <w:tblCellSpacing w:w="15" w:type="dxa"/>
        </w:trPr>
        <w:tc>
          <w:tcPr>
            <w:tcW w:w="0" w:type="auto"/>
            <w:tcBorders/>
            <w:vAlign w:val="center"/>
            <w:hideMark/>
          </w:tcPr>
          <w:p w14:paraId="30C7E316">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8</w:t>
            </w:r>
          </w:p>
        </w:tc>
        <w:tc>
          <w:tcPr>
            <w:tcW w:w="0" w:type="auto"/>
            <w:tcBorders/>
            <w:vAlign w:val="center"/>
            <w:hideMark/>
          </w:tcPr>
          <w:p w14:paraId="7F5F82D4">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Priced </w:t>
            </w:r>
            <w:r>
              <w:rPr>
                <w:rFonts w:ascii="Times New Roman" w:cs="Times New Roman" w:eastAsia="Times New Roman" w:hAnsi="Times New Roman"/>
                <w:sz w:val="24"/>
                <w:szCs w:val="24"/>
                <w:lang w:eastAsia="en-GB"/>
              </w:rPr>
              <w:t>BoQ</w:t>
            </w:r>
          </w:p>
        </w:tc>
        <w:tc>
          <w:tcPr>
            <w:tcW w:w="0" w:type="auto"/>
            <w:tcBorders/>
            <w:vAlign w:val="center"/>
            <w:hideMark/>
          </w:tcPr>
          <w:p w14:paraId="0E2AF5EE">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Fully priced </w:t>
            </w:r>
            <w:r>
              <w:rPr>
                <w:rFonts w:ascii="Times New Roman" w:cs="Times New Roman" w:eastAsia="Times New Roman" w:hAnsi="Times New Roman"/>
                <w:sz w:val="24"/>
                <w:szCs w:val="24"/>
                <w:lang w:eastAsia="en-GB"/>
              </w:rPr>
              <w:t>BoQ</w:t>
            </w:r>
            <w:r>
              <w:rPr>
                <w:rFonts w:ascii="Times New Roman" w:cs="Times New Roman" w:eastAsia="Times New Roman" w:hAnsi="Times New Roman"/>
                <w:sz w:val="24"/>
                <w:szCs w:val="24"/>
                <w:lang w:eastAsia="en-GB"/>
              </w:rPr>
              <w:t xml:space="preserve"> (amount in figures and words), inclusive of all taxes.</w:t>
            </w:r>
          </w:p>
        </w:tc>
      </w:tr>
      <w:tr w14:paraId="33BFCAD2">
        <w:tblPrEx/>
        <w:trPr>
          <w:tblCellSpacing w:w="15" w:type="dxa"/>
        </w:trPr>
        <w:tc>
          <w:tcPr>
            <w:tcW w:w="0" w:type="auto"/>
            <w:tcBorders/>
            <w:vAlign w:val="center"/>
            <w:hideMark/>
          </w:tcPr>
          <w:p w14:paraId="4CB2DD45">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w:t>
            </w:r>
          </w:p>
        </w:tc>
        <w:tc>
          <w:tcPr>
            <w:tcW w:w="0" w:type="auto"/>
            <w:tcBorders/>
            <w:vAlign w:val="center"/>
            <w:hideMark/>
          </w:tcPr>
          <w:p w14:paraId="04DF8872">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Signed Form of Tender</w:t>
            </w:r>
          </w:p>
        </w:tc>
        <w:tc>
          <w:tcPr>
            <w:tcW w:w="0" w:type="auto"/>
            <w:tcBorders/>
            <w:vAlign w:val="center"/>
            <w:hideMark/>
          </w:tcPr>
          <w:p w14:paraId="0E8231DE">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Properly </w:t>
            </w:r>
            <w:r>
              <w:rPr>
                <w:rFonts w:ascii="Times New Roman" w:cs="Times New Roman" w:eastAsia="Times New Roman" w:hAnsi="Times New Roman"/>
                <w:b/>
                <w:bCs/>
                <w:sz w:val="24"/>
                <w:szCs w:val="24"/>
                <w:lang w:eastAsia="en-GB"/>
              </w:rPr>
              <w:t>signed and stamped</w:t>
            </w:r>
            <w:r>
              <w:rPr>
                <w:rFonts w:ascii="Times New Roman" w:cs="Times New Roman" w:eastAsia="Times New Roman" w:hAnsi="Times New Roman"/>
                <w:sz w:val="24"/>
                <w:szCs w:val="24"/>
                <w:lang w:eastAsia="en-GB"/>
              </w:rPr>
              <w:t xml:space="preserve"> by the authorized signatory.</w:t>
            </w:r>
          </w:p>
        </w:tc>
      </w:tr>
      <w:tr w14:paraId="33F40DDE">
        <w:tblPrEx/>
        <w:trPr>
          <w:tblCellSpacing w:w="15" w:type="dxa"/>
        </w:trPr>
        <w:tc>
          <w:tcPr>
            <w:tcW w:w="0" w:type="auto"/>
            <w:tcBorders/>
            <w:vAlign w:val="center"/>
            <w:hideMark/>
          </w:tcPr>
          <w:p w14:paraId="5FD4A477">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10</w:t>
            </w:r>
          </w:p>
        </w:tc>
        <w:tc>
          <w:tcPr>
            <w:tcW w:w="0" w:type="auto"/>
            <w:tcBorders/>
            <w:vAlign w:val="center"/>
            <w:hideMark/>
          </w:tcPr>
          <w:p w14:paraId="7BB662B0">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Bank Statement</w:t>
            </w:r>
          </w:p>
        </w:tc>
        <w:tc>
          <w:tcPr>
            <w:tcW w:w="0" w:type="auto"/>
            <w:tcBorders/>
            <w:vAlign w:val="center"/>
            <w:hideMark/>
          </w:tcPr>
          <w:p w14:paraId="1EF4E4A3">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Company bank statement for the </w:t>
            </w:r>
            <w:r>
              <w:rPr>
                <w:rFonts w:ascii="Times New Roman" w:cs="Times New Roman" w:eastAsia="Times New Roman" w:hAnsi="Times New Roman"/>
                <w:b/>
                <w:bCs/>
                <w:sz w:val="24"/>
                <w:szCs w:val="24"/>
                <w:lang w:eastAsia="en-GB"/>
              </w:rPr>
              <w:t>last 12 months</w:t>
            </w:r>
            <w:r>
              <w:rPr>
                <w:rFonts w:ascii="Times New Roman" w:cs="Times New Roman" w:eastAsia="Times New Roman" w:hAnsi="Times New Roman"/>
                <w:sz w:val="24"/>
                <w:szCs w:val="24"/>
                <w:lang w:eastAsia="en-GB"/>
              </w:rPr>
              <w:t>.</w:t>
            </w:r>
          </w:p>
        </w:tc>
      </w:tr>
      <w:tr w14:paraId="6BACF62F">
        <w:tblPrEx/>
        <w:trPr>
          <w:tblCellSpacing w:w="15" w:type="dxa"/>
        </w:trPr>
        <w:tc>
          <w:tcPr>
            <w:tcW w:w="0" w:type="auto"/>
            <w:tcBorders/>
            <w:vAlign w:val="center"/>
            <w:hideMark/>
          </w:tcPr>
          <w:p w14:paraId="34C4D085">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w:t>
            </w:r>
          </w:p>
        </w:tc>
        <w:tc>
          <w:tcPr>
            <w:tcW w:w="0" w:type="auto"/>
            <w:tcBorders/>
            <w:vAlign w:val="center"/>
            <w:hideMark/>
          </w:tcPr>
          <w:p w14:paraId="7D80541B">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Equipment &amp; Capacity</w:t>
            </w:r>
          </w:p>
        </w:tc>
        <w:tc>
          <w:tcPr>
            <w:tcW w:w="0" w:type="auto"/>
            <w:tcBorders/>
            <w:vAlign w:val="center"/>
            <w:hideMark/>
          </w:tcPr>
          <w:p w14:paraId="3F278F30">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List/ownership/lease of key equipment and logistics available for the works.</w:t>
            </w:r>
          </w:p>
        </w:tc>
      </w:tr>
    </w:tbl>
    <w:p w14:paraId="656D496E">
      <w:pPr>
        <w:pStyle w:val="style0"/>
        <w:spacing w:before="100" w:beforeAutospacing="true" w:after="100" w:afterAutospacing="true" w:lineRule="auto" w:line="360"/>
        <w:outlineLvl w:val="1"/>
        <w:rPr>
          <w:rFonts w:ascii="Times New Roman" w:cs="Times New Roman" w:eastAsia="Times New Roman" w:hAnsi="Times New Roman"/>
          <w:b/>
          <w:bCs/>
          <w:kern w:val="36"/>
          <w:sz w:val="32"/>
          <w:szCs w:val="32"/>
          <w:lang w:eastAsia="en-GB"/>
        </w:rPr>
      </w:pPr>
      <w:r>
        <w:rPr>
          <w:rFonts w:ascii="Times New Roman" w:cs="Times New Roman" w:eastAsia="Times New Roman" w:hAnsi="Times New Roman"/>
          <w:b/>
          <w:bCs/>
          <w:kern w:val="36"/>
          <w:sz w:val="32"/>
          <w:szCs w:val="32"/>
          <w:lang w:eastAsia="en-GB"/>
        </w:rPr>
        <w:t>Submission Address</w:t>
      </w:r>
    </w:p>
    <w:p w14:paraId="2CA6F194">
      <w:pPr>
        <w:pStyle w:val="style0"/>
        <w:spacing w:before="100" w:beforeAutospacing="true" w:after="100" w:afterAutospacing="true"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The Procurement Office</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 xml:space="preserve">Jowhar District </w:t>
      </w:r>
      <w:r>
        <w:rPr>
          <w:rFonts w:ascii="Times New Roman" w:cs="Times New Roman" w:eastAsia="Times New Roman" w:hAnsi="Times New Roman"/>
          <w:sz w:val="24"/>
          <w:szCs w:val="24"/>
          <w:lang w:eastAsia="en-GB"/>
        </w:rPr>
        <w:t xml:space="preserve">Main Office, </w:t>
      </w:r>
      <w:r>
        <w:rPr>
          <w:rFonts w:ascii="Times New Roman" w:cs="Times New Roman" w:eastAsia="Times New Roman" w:hAnsi="Times New Roman"/>
          <w:sz w:val="24"/>
          <w:szCs w:val="24"/>
          <w:lang w:eastAsia="en-GB"/>
        </w:rPr>
        <w:t>Hirshabelle</w:t>
      </w:r>
      <w:r>
        <w:rPr>
          <w:rFonts w:ascii="Times New Roman" w:cs="Times New Roman" w:eastAsia="Times New Roman" w:hAnsi="Times New Roman"/>
          <w:sz w:val="24"/>
          <w:szCs w:val="24"/>
          <w:lang w:eastAsia="en-GB"/>
        </w:rPr>
        <w:t xml:space="preserve"> State of </w:t>
      </w:r>
      <w:r>
        <w:rPr>
          <w:rFonts w:ascii="Times New Roman" w:cs="Times New Roman" w:eastAsia="Times New Roman" w:hAnsi="Times New Roman"/>
          <w:sz w:val="24"/>
          <w:szCs w:val="24"/>
          <w:lang w:eastAsia="en-GB"/>
        </w:rPr>
        <w:t>Somalia</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 xml:space="preserve">(Submit sealed hard copies by </w:t>
      </w:r>
      <w:r>
        <w:rPr>
          <w:rFonts w:ascii="Times New Roman" w:cs="Times New Roman" w:eastAsia="Times New Roman" w:hAnsi="Times New Roman"/>
          <w:b/>
          <w:bCs/>
          <w:sz w:val="24"/>
          <w:szCs w:val="24"/>
          <w:lang w:eastAsia="en-GB"/>
        </w:rPr>
        <w:t xml:space="preserve">12:00 PM, </w:t>
      </w:r>
      <w:r>
        <w:rPr>
          <w:rFonts w:ascii="Times New Roman" w:cs="Times New Roman" w:eastAsia="Times New Roman" w:hAnsi="Times New Roman"/>
          <w:b/>
          <w:bCs/>
          <w:sz w:val="24"/>
          <w:szCs w:val="24"/>
          <w:lang w:eastAsia="en-GB"/>
        </w:rPr>
        <w:t>24</w:t>
      </w:r>
      <w:r>
        <w:rPr>
          <w:rFonts w:ascii="Times New Roman" w:cs="Times New Roman" w:eastAsia="Times New Roman" w:hAnsi="Times New Roman"/>
          <w:b/>
          <w:bCs/>
          <w:sz w:val="24"/>
          <w:szCs w:val="24"/>
          <w:lang w:eastAsia="en-GB"/>
        </w:rPr>
        <w:t xml:space="preserve"> June 2026</w:t>
      </w:r>
      <w:r>
        <w:rPr>
          <w:rFonts w:ascii="Times New Roman" w:cs="Times New Roman" w:eastAsia="Times New Roman" w:hAnsi="Times New Roman"/>
          <w:sz w:val="24"/>
          <w:szCs w:val="24"/>
          <w:lang w:eastAsia="en-GB"/>
        </w:rPr>
        <w:t>. Opening will follow immediately.)</w:t>
      </w:r>
    </w:p>
    <w:p w14:paraId="1B8E94D5">
      <w:pPr>
        <w:pStyle w:val="style0"/>
        <w:spacing w:lineRule="auto" w:line="36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ACE74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17DCB1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387081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9B684A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87F079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eastAsia="en-GB"/>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148233f-d2e3-476d-ad46-d7fad74a9d1c"/>
    <w:basedOn w:val="style65"/>
    <w:next w:val="style4097"/>
    <w:link w:val="style1"/>
    <w:uiPriority w:val="9"/>
    <w:rPr>
      <w:rFonts w:ascii="Times New Roman" w:cs="Times New Roman" w:eastAsia="Times New Roman" w:hAnsi="Times New Roman"/>
      <w:b/>
      <w:bCs/>
      <w:kern w:val="36"/>
      <w:sz w:val="48"/>
      <w:szCs w:val="48"/>
      <w:lang w:eastAsia="en-GB"/>
    </w:rPr>
  </w:style>
  <w:style w:type="character" w:customStyle="1" w:styleId="style4098">
    <w:name w:val="Heading 2 Char_98c9bc7c-b83f-4edf-834f-b641d0e26e89"/>
    <w:basedOn w:val="style65"/>
    <w:next w:val="style4098"/>
    <w:link w:val="style2"/>
    <w:uiPriority w:val="9"/>
    <w:rPr>
      <w:rFonts w:ascii="Times New Roman" w:cs="Times New Roman" w:eastAsia="Times New Roman" w:hAnsi="Times New Roman"/>
      <w:b/>
      <w:bCs/>
      <w:sz w:val="36"/>
      <w:szCs w:val="36"/>
      <w:lang w:eastAsia="en-GB"/>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styleId="style87">
    <w:name w:val="Strong"/>
    <w:basedOn w:val="style65"/>
    <w:next w:val="style87"/>
    <w:qFormat/>
    <w:uiPriority w:val="22"/>
    <w:rPr>
      <w:b/>
      <w:bCs/>
    </w:rPr>
  </w:style>
  <w:style w:type="paragraph" w:customStyle="1" w:styleId="style4099">
    <w:name w:val="isselectedend"/>
    <w:basedOn w:val="style0"/>
    <w:next w:val="style4099"/>
    <w:pPr>
      <w:spacing w:before="100" w:beforeAutospacing="true" w:after="100" w:afterAutospacing="true" w:lineRule="auto" w:line="240"/>
    </w:pPr>
    <w:rPr>
      <w:rFonts w:ascii="Times New Roman" w:cs="Times New Roman" w:eastAsia="Times New Roman" w:hAnsi="Times New Roman"/>
      <w:sz w:val="24"/>
      <w:szCs w:val="24"/>
      <w:lang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443</Words>
  <Pages>3</Pages>
  <Characters>2555</Characters>
  <Application>WPS Office</Application>
  <DocSecurity>0</DocSecurity>
  <Paragraphs>73</Paragraphs>
  <ScaleCrop>false</ScaleCrop>
  <Company>HP</Company>
  <LinksUpToDate>false</LinksUpToDate>
  <CharactersWithSpaces>2940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2026-06-09T06:27:00Z</dcterms:created>
  <dc:creator>Microsoft account</dc:creator>
  <lastModifiedBy>TECNO CM6</lastModifiedBy>
  <dcterms:modified xsi:type="dcterms:W3CDTF">2026-06-10T10:25:13Z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73c2c151051d4c4b8d3704cbd39d38d1_23</vt:lpwstr>
  </property>
</Properties>
</file>