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050B" w14:textId="09DAADC4" w:rsidR="005C769A" w:rsidRDefault="00BE4F8D" w:rsidP="00BE4F8D">
      <w:pPr>
        <w:pStyle w:val="Heading1"/>
      </w:pPr>
      <w:r>
        <w:t xml:space="preserve">                               </w:t>
      </w:r>
      <w:r w:rsidR="00000000">
        <w:t>ACTION AGAINST HUNGER SOMALIA</w:t>
      </w:r>
    </w:p>
    <w:p w14:paraId="72F445AB" w14:textId="77777777" w:rsidR="005C769A" w:rsidRDefault="00000000">
      <w:pPr>
        <w:jc w:val="center"/>
      </w:pPr>
      <w:r>
        <w:rPr>
          <w:b/>
        </w:rPr>
        <w:t>INVITATION TO TENDER (ITT)</w:t>
      </w:r>
      <w:r>
        <w:rPr>
          <w:b/>
        </w:rPr>
        <w:br/>
        <w:t>FRAMEWORK AGREEMENTS FOR SUPPLY OF GOODS &amp; SERVICES (2026–2028)</w:t>
      </w:r>
    </w:p>
    <w:p w14:paraId="2021A6B0" w14:textId="77777777" w:rsidR="005C769A" w:rsidRDefault="00000000">
      <w:pPr>
        <w:pStyle w:val="Heading2"/>
      </w:pPr>
      <w:r>
        <w:t>1. Background</w:t>
      </w:r>
    </w:p>
    <w:p w14:paraId="46046143" w14:textId="77777777" w:rsidR="005C769A" w:rsidRDefault="00000000">
      <w:r>
        <w:t>Action Against Hunger (ACF) is an international humanitarian organization operating in more than 40 countries worldwide. ACF Somalia invites eligible, qualified and experienced suppliers and service providers to submit bids for establishment of Framework Agreements.</w:t>
      </w:r>
    </w:p>
    <w:p w14:paraId="31143171" w14:textId="77777777" w:rsidR="005C769A" w:rsidRDefault="00000000">
      <w:pPr>
        <w:pStyle w:val="Heading2"/>
      </w:pPr>
      <w:r>
        <w:t>2. Categories of Goods and Services</w:t>
      </w:r>
    </w:p>
    <w:tbl>
      <w:tblPr>
        <w:tblW w:w="1152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520"/>
        <w:gridCol w:w="4230"/>
        <w:gridCol w:w="4140"/>
      </w:tblGrid>
      <w:tr w:rsidR="00BC646B" w14:paraId="15A812E7" w14:textId="77777777" w:rsidTr="00284F62">
        <w:trPr>
          <w:trHeight w:val="350"/>
        </w:trPr>
        <w:tc>
          <w:tcPr>
            <w:tcW w:w="630" w:type="dxa"/>
            <w:shd w:val="clear" w:color="auto" w:fill="F6C5AC"/>
          </w:tcPr>
          <w:p w14:paraId="3B03B02F" w14:textId="77777777" w:rsidR="00BC646B" w:rsidRDefault="00BC646B" w:rsidP="00A910FA">
            <w:pPr>
              <w:rPr>
                <w:rFonts w:ascii="Lato" w:eastAsia="Aptos" w:hAnsi="Lato"/>
                <w:b/>
                <w:bCs/>
                <w:kern w:val="2"/>
              </w:rPr>
            </w:pPr>
            <w:r>
              <w:rPr>
                <w:rFonts w:ascii="Lato" w:eastAsia="Aptos" w:hAnsi="Lato" w:cs="Calibri"/>
                <w:b/>
                <w:bCs/>
                <w:color w:val="000000"/>
                <w:kern w:val="2"/>
              </w:rPr>
              <w:t>#</w:t>
            </w:r>
          </w:p>
        </w:tc>
        <w:tc>
          <w:tcPr>
            <w:tcW w:w="2520" w:type="dxa"/>
            <w:shd w:val="clear" w:color="auto" w:fill="F6C5AC"/>
          </w:tcPr>
          <w:p w14:paraId="178AC2B5" w14:textId="77777777" w:rsidR="00BC646B" w:rsidRDefault="00BC646B" w:rsidP="00A910FA">
            <w:pPr>
              <w:rPr>
                <w:rFonts w:ascii="Lato" w:eastAsia="Aptos" w:hAnsi="Lato"/>
                <w:b/>
                <w:bCs/>
                <w:kern w:val="2"/>
              </w:rPr>
            </w:pPr>
            <w:r>
              <w:rPr>
                <w:rFonts w:ascii="Lato" w:eastAsia="Aptos" w:hAnsi="Lato" w:cs="Calibri"/>
                <w:b/>
                <w:bCs/>
                <w:color w:val="000000"/>
                <w:kern w:val="2"/>
              </w:rPr>
              <w:t>REFERENCE NUMBER</w:t>
            </w:r>
          </w:p>
        </w:tc>
        <w:tc>
          <w:tcPr>
            <w:tcW w:w="4230" w:type="dxa"/>
            <w:shd w:val="clear" w:color="auto" w:fill="F6C5AC"/>
          </w:tcPr>
          <w:p w14:paraId="415C661B" w14:textId="77777777" w:rsidR="00BC646B" w:rsidRDefault="00BC646B" w:rsidP="00A910FA">
            <w:pPr>
              <w:rPr>
                <w:rFonts w:ascii="Lato" w:eastAsia="Aptos" w:hAnsi="Lato"/>
                <w:b/>
                <w:bCs/>
                <w:kern w:val="2"/>
              </w:rPr>
            </w:pPr>
            <w:r>
              <w:rPr>
                <w:rFonts w:ascii="Lato" w:eastAsia="Aptos" w:hAnsi="Lato" w:cs="Calibri"/>
                <w:b/>
                <w:bCs/>
                <w:color w:val="000000"/>
                <w:kern w:val="2"/>
              </w:rPr>
              <w:t>CATEGORY</w:t>
            </w:r>
          </w:p>
        </w:tc>
        <w:tc>
          <w:tcPr>
            <w:tcW w:w="4140" w:type="dxa"/>
            <w:shd w:val="clear" w:color="auto" w:fill="F6C5AC"/>
          </w:tcPr>
          <w:p w14:paraId="10C5F72C" w14:textId="77777777" w:rsidR="00BC646B" w:rsidRDefault="00BC646B" w:rsidP="00A910FA">
            <w:pPr>
              <w:rPr>
                <w:rFonts w:ascii="Lato" w:eastAsia="Aptos" w:hAnsi="Lato"/>
                <w:b/>
                <w:bCs/>
                <w:kern w:val="2"/>
              </w:rPr>
            </w:pPr>
            <w:r>
              <w:rPr>
                <w:rFonts w:ascii="Lato" w:eastAsia="Aptos" w:hAnsi="Lato" w:cs="Calibri"/>
                <w:b/>
                <w:bCs/>
                <w:color w:val="000000"/>
                <w:kern w:val="2"/>
              </w:rPr>
              <w:t>LOCATIONS</w:t>
            </w:r>
          </w:p>
        </w:tc>
      </w:tr>
      <w:tr w:rsidR="00BC646B" w14:paraId="0972649C" w14:textId="77777777" w:rsidTr="00284F62">
        <w:trPr>
          <w:trHeight w:val="800"/>
        </w:trPr>
        <w:tc>
          <w:tcPr>
            <w:tcW w:w="630" w:type="dxa"/>
            <w:vAlign w:val="center"/>
          </w:tcPr>
          <w:p w14:paraId="6BE9D912" w14:textId="77777777" w:rsidR="00BC646B" w:rsidRDefault="00BC646B" w:rsidP="00A910FA">
            <w:pPr>
              <w:rPr>
                <w:rFonts w:ascii="Lato" w:eastAsia="Aptos" w:hAnsi="Lato"/>
                <w:kern w:val="2"/>
              </w:rPr>
            </w:pPr>
            <w:r>
              <w:rPr>
                <w:rFonts w:ascii="Lato" w:eastAsia="Aptos" w:hAnsi="Lato" w:cs="Calibri"/>
                <w:color w:val="000000"/>
                <w:kern w:val="2"/>
              </w:rPr>
              <w:t>1</w:t>
            </w:r>
          </w:p>
        </w:tc>
        <w:tc>
          <w:tcPr>
            <w:tcW w:w="2520" w:type="dxa"/>
            <w:vAlign w:val="center"/>
          </w:tcPr>
          <w:p w14:paraId="05396760" w14:textId="77777777" w:rsidR="00BC646B" w:rsidRDefault="00BC646B" w:rsidP="00A910FA">
            <w:pPr>
              <w:rPr>
                <w:rFonts w:ascii="Lato" w:eastAsia="Aptos" w:hAnsi="Lato"/>
                <w:kern w:val="2"/>
              </w:rPr>
            </w:pPr>
            <w:r>
              <w:rPr>
                <w:rFonts w:ascii="Lato" w:eastAsia="Aptos" w:hAnsi="Lato" w:cs="Calibri"/>
                <w:color w:val="000000"/>
                <w:kern w:val="2"/>
              </w:rPr>
              <w:t>SOM/FA/ 001</w:t>
            </w:r>
          </w:p>
        </w:tc>
        <w:tc>
          <w:tcPr>
            <w:tcW w:w="4230" w:type="dxa"/>
            <w:vAlign w:val="center"/>
          </w:tcPr>
          <w:p w14:paraId="063F8DA5" w14:textId="77777777" w:rsidR="00BC646B" w:rsidRDefault="00BC646B" w:rsidP="00A910FA">
            <w:pPr>
              <w:rPr>
                <w:rFonts w:ascii="Lato" w:eastAsia="Aptos" w:hAnsi="Lato" w:cs="Tahoma"/>
                <w:color w:val="000000"/>
                <w:kern w:val="2"/>
              </w:rPr>
            </w:pPr>
            <w:r>
              <w:rPr>
                <w:rFonts w:ascii="Lato" w:eastAsia="Aptos" w:hAnsi="Lato" w:cs="Tahoma"/>
                <w:color w:val="000000"/>
                <w:kern w:val="2"/>
              </w:rPr>
              <w:t>Hotel Accommodation and Conferencing Facility (Food catering (prepared meals) Refreshment and Luch</w:t>
            </w:r>
          </w:p>
        </w:tc>
        <w:tc>
          <w:tcPr>
            <w:tcW w:w="4140" w:type="dxa"/>
            <w:vAlign w:val="center"/>
          </w:tcPr>
          <w:p w14:paraId="4F299628" w14:textId="77777777" w:rsidR="00BC646B" w:rsidRDefault="00BC646B" w:rsidP="00A910FA">
            <w:pPr>
              <w:rPr>
                <w:rFonts w:ascii="Lato" w:eastAsia="Aptos" w:hAnsi="Lato"/>
                <w:kern w:val="2"/>
              </w:rPr>
            </w:pPr>
            <w:r>
              <w:rPr>
                <w:rFonts w:ascii="Lato" w:eastAsia="Aptos" w:hAnsi="Lato" w:cs="Tahoma"/>
                <w:color w:val="000000"/>
                <w:kern w:val="2"/>
              </w:rPr>
              <w:t xml:space="preserve">Mogadishu, Baidoa, Garowe, Elbarde, </w:t>
            </w:r>
            <w:proofErr w:type="spellStart"/>
            <w:r>
              <w:rPr>
                <w:rFonts w:ascii="Lato" w:eastAsia="Aptos" w:hAnsi="Lato" w:cs="Tahoma"/>
                <w:color w:val="000000"/>
                <w:kern w:val="2"/>
              </w:rPr>
              <w:t>Yeed</w:t>
            </w:r>
            <w:proofErr w:type="spellEnd"/>
            <w:r>
              <w:rPr>
                <w:rFonts w:ascii="Lato" w:eastAsia="Aptos" w:hAnsi="Lato" w:cs="Tahoma"/>
                <w:color w:val="000000"/>
                <w:kern w:val="2"/>
              </w:rPr>
              <w:t>, Wajid, Hudur and Kismayo</w:t>
            </w:r>
          </w:p>
        </w:tc>
      </w:tr>
      <w:tr w:rsidR="00BC646B" w14:paraId="231B5741" w14:textId="77777777" w:rsidTr="00284F62">
        <w:trPr>
          <w:trHeight w:val="286"/>
        </w:trPr>
        <w:tc>
          <w:tcPr>
            <w:tcW w:w="630" w:type="dxa"/>
            <w:vAlign w:val="center"/>
          </w:tcPr>
          <w:p w14:paraId="048A739E" w14:textId="77777777" w:rsidR="00BC646B" w:rsidRDefault="00BC646B" w:rsidP="00A910FA">
            <w:pPr>
              <w:rPr>
                <w:rFonts w:ascii="Lato" w:eastAsia="Aptos" w:hAnsi="Lato"/>
                <w:kern w:val="2"/>
              </w:rPr>
            </w:pPr>
            <w:r>
              <w:rPr>
                <w:rFonts w:ascii="Lato" w:eastAsia="Aptos" w:hAnsi="Lato" w:cs="Calibri"/>
                <w:color w:val="000000"/>
                <w:kern w:val="2"/>
              </w:rPr>
              <w:t>2</w:t>
            </w:r>
          </w:p>
        </w:tc>
        <w:tc>
          <w:tcPr>
            <w:tcW w:w="2520" w:type="dxa"/>
            <w:vAlign w:val="center"/>
          </w:tcPr>
          <w:p w14:paraId="4E8217B0" w14:textId="77777777" w:rsidR="00BC646B" w:rsidRDefault="00BC646B" w:rsidP="00A910FA">
            <w:pPr>
              <w:rPr>
                <w:rFonts w:ascii="Lato" w:eastAsia="Aptos" w:hAnsi="Lato"/>
                <w:kern w:val="2"/>
              </w:rPr>
            </w:pPr>
            <w:r>
              <w:rPr>
                <w:rFonts w:ascii="Lato" w:eastAsia="Aptos" w:hAnsi="Lato" w:cs="Calibri"/>
                <w:color w:val="000000"/>
                <w:kern w:val="2"/>
              </w:rPr>
              <w:t>SOM/FA/ 002</w:t>
            </w:r>
          </w:p>
        </w:tc>
        <w:tc>
          <w:tcPr>
            <w:tcW w:w="4230" w:type="dxa"/>
            <w:vAlign w:val="center"/>
          </w:tcPr>
          <w:p w14:paraId="6FD3A9FB" w14:textId="77777777" w:rsidR="00BC646B" w:rsidRDefault="00BC646B" w:rsidP="00A910FA">
            <w:pPr>
              <w:rPr>
                <w:rFonts w:ascii="Lato" w:eastAsia="Aptos" w:hAnsi="Lato" w:cs="Tahoma"/>
                <w:color w:val="000000"/>
                <w:kern w:val="2"/>
              </w:rPr>
            </w:pPr>
            <w:r>
              <w:rPr>
                <w:rFonts w:ascii="Lato" w:eastAsia="Aptos" w:hAnsi="Lato" w:cs="Tahoma"/>
                <w:color w:val="000000"/>
                <w:kern w:val="2"/>
              </w:rPr>
              <w:t>Provision of Air Cargo Services</w:t>
            </w:r>
          </w:p>
        </w:tc>
        <w:tc>
          <w:tcPr>
            <w:tcW w:w="4140" w:type="dxa"/>
            <w:vAlign w:val="center"/>
          </w:tcPr>
          <w:p w14:paraId="262CE35E" w14:textId="77777777" w:rsidR="00BC646B" w:rsidRDefault="00BC646B" w:rsidP="00A910FA">
            <w:pPr>
              <w:rPr>
                <w:rFonts w:ascii="Lato" w:eastAsia="Aptos" w:hAnsi="Lato"/>
                <w:kern w:val="2"/>
              </w:rPr>
            </w:pPr>
            <w:r>
              <w:rPr>
                <w:rFonts w:ascii="Lato" w:eastAsia="Aptos" w:hAnsi="Lato" w:cs="Calibri"/>
                <w:color w:val="000000"/>
                <w:kern w:val="2"/>
              </w:rPr>
              <w:t>Local / National Level (Mogadishu)</w:t>
            </w:r>
          </w:p>
        </w:tc>
      </w:tr>
      <w:tr w:rsidR="00BC646B" w14:paraId="44B880B6" w14:textId="77777777" w:rsidTr="00284F62">
        <w:trPr>
          <w:trHeight w:val="572"/>
        </w:trPr>
        <w:tc>
          <w:tcPr>
            <w:tcW w:w="630" w:type="dxa"/>
            <w:vAlign w:val="center"/>
          </w:tcPr>
          <w:p w14:paraId="6AEF24BD" w14:textId="77777777" w:rsidR="00BC646B" w:rsidRDefault="00BC646B" w:rsidP="00A910FA">
            <w:pPr>
              <w:rPr>
                <w:rFonts w:ascii="Lato" w:eastAsia="Aptos" w:hAnsi="Lato"/>
                <w:kern w:val="2"/>
              </w:rPr>
            </w:pPr>
            <w:r>
              <w:rPr>
                <w:rFonts w:ascii="Lato" w:eastAsia="Aptos" w:hAnsi="Lato" w:cs="Calibri"/>
                <w:color w:val="000000"/>
                <w:kern w:val="2"/>
              </w:rPr>
              <w:t>3</w:t>
            </w:r>
          </w:p>
        </w:tc>
        <w:tc>
          <w:tcPr>
            <w:tcW w:w="2520" w:type="dxa"/>
            <w:vAlign w:val="center"/>
          </w:tcPr>
          <w:p w14:paraId="7361557A" w14:textId="77777777" w:rsidR="00BC646B" w:rsidRDefault="00BC646B" w:rsidP="00A910FA">
            <w:pPr>
              <w:rPr>
                <w:rFonts w:ascii="Lato" w:eastAsia="Aptos" w:hAnsi="Lato"/>
                <w:kern w:val="2"/>
              </w:rPr>
            </w:pPr>
            <w:r>
              <w:rPr>
                <w:rFonts w:ascii="Lato" w:eastAsia="Aptos" w:hAnsi="Lato" w:cs="Calibri"/>
                <w:color w:val="000000"/>
                <w:kern w:val="2"/>
              </w:rPr>
              <w:t>SOM/FA/ 003</w:t>
            </w:r>
          </w:p>
        </w:tc>
        <w:tc>
          <w:tcPr>
            <w:tcW w:w="4230" w:type="dxa"/>
            <w:vAlign w:val="center"/>
          </w:tcPr>
          <w:p w14:paraId="78191C08" w14:textId="77777777" w:rsidR="00BC646B" w:rsidRDefault="00BC646B" w:rsidP="00A910FA">
            <w:pPr>
              <w:rPr>
                <w:rFonts w:ascii="Lato" w:eastAsia="Aptos" w:hAnsi="Lato" w:cs="Tahoma"/>
                <w:color w:val="000000"/>
                <w:kern w:val="2"/>
              </w:rPr>
            </w:pPr>
            <w:r>
              <w:rPr>
                <w:rFonts w:ascii="Lato" w:eastAsia="Aptos" w:hAnsi="Lato" w:cs="Tahoma"/>
                <w:color w:val="000000"/>
                <w:kern w:val="2"/>
              </w:rPr>
              <w:t>Provision of Flight Booking - Domestic &amp; International Air Travel</w:t>
            </w:r>
          </w:p>
        </w:tc>
        <w:tc>
          <w:tcPr>
            <w:tcW w:w="4140" w:type="dxa"/>
            <w:vAlign w:val="center"/>
          </w:tcPr>
          <w:p w14:paraId="765562B4" w14:textId="77777777" w:rsidR="00BC646B" w:rsidRDefault="00BC646B" w:rsidP="00A910FA">
            <w:pPr>
              <w:rPr>
                <w:rFonts w:ascii="Lato" w:eastAsia="Aptos" w:hAnsi="Lato"/>
                <w:kern w:val="2"/>
              </w:rPr>
            </w:pPr>
            <w:r>
              <w:rPr>
                <w:rFonts w:ascii="Lato" w:eastAsia="Aptos" w:hAnsi="Lato" w:cs="Calibri"/>
                <w:color w:val="000000"/>
                <w:kern w:val="2"/>
              </w:rPr>
              <w:t>Local / National Level (Mogadishu)</w:t>
            </w:r>
          </w:p>
        </w:tc>
      </w:tr>
      <w:tr w:rsidR="00BC646B" w14:paraId="10740774" w14:textId="77777777" w:rsidTr="00BE4F8D">
        <w:trPr>
          <w:trHeight w:val="530"/>
        </w:trPr>
        <w:tc>
          <w:tcPr>
            <w:tcW w:w="630" w:type="dxa"/>
            <w:vAlign w:val="center"/>
          </w:tcPr>
          <w:p w14:paraId="752EA08D" w14:textId="77777777" w:rsidR="00BC646B" w:rsidRDefault="00BC646B" w:rsidP="00A910FA">
            <w:pPr>
              <w:rPr>
                <w:rFonts w:ascii="Lato" w:eastAsia="Aptos" w:hAnsi="Lato"/>
                <w:kern w:val="2"/>
              </w:rPr>
            </w:pPr>
            <w:r>
              <w:rPr>
                <w:rFonts w:ascii="Lato" w:eastAsia="Aptos" w:hAnsi="Lato" w:cs="Calibri"/>
                <w:color w:val="000000"/>
                <w:kern w:val="2"/>
              </w:rPr>
              <w:t>4</w:t>
            </w:r>
          </w:p>
        </w:tc>
        <w:tc>
          <w:tcPr>
            <w:tcW w:w="2520" w:type="dxa"/>
            <w:vAlign w:val="center"/>
          </w:tcPr>
          <w:p w14:paraId="18D24AA5" w14:textId="77777777" w:rsidR="00BC646B" w:rsidRDefault="00BC646B" w:rsidP="00A910FA">
            <w:pPr>
              <w:rPr>
                <w:rFonts w:ascii="Lato" w:eastAsia="Aptos" w:hAnsi="Lato"/>
                <w:kern w:val="2"/>
              </w:rPr>
            </w:pPr>
            <w:r>
              <w:rPr>
                <w:rFonts w:ascii="Lato" w:eastAsia="Aptos" w:hAnsi="Lato" w:cs="Calibri"/>
                <w:color w:val="000000"/>
                <w:kern w:val="2"/>
              </w:rPr>
              <w:t>SOM/FA/ 004</w:t>
            </w:r>
          </w:p>
        </w:tc>
        <w:tc>
          <w:tcPr>
            <w:tcW w:w="4230" w:type="dxa"/>
            <w:vAlign w:val="center"/>
          </w:tcPr>
          <w:p w14:paraId="56865483" w14:textId="77777777" w:rsidR="00BC646B" w:rsidRDefault="00BC646B" w:rsidP="00A910FA">
            <w:pPr>
              <w:rPr>
                <w:rFonts w:ascii="Lato" w:eastAsia="Aptos" w:hAnsi="Lato" w:cs="Tahoma"/>
                <w:color w:val="000000"/>
                <w:kern w:val="2"/>
              </w:rPr>
            </w:pPr>
            <w:r>
              <w:rPr>
                <w:rFonts w:ascii="Lato" w:eastAsia="Aptos" w:hAnsi="Lato" w:cs="Tahoma"/>
                <w:color w:val="000000"/>
                <w:kern w:val="2"/>
              </w:rPr>
              <w:t>Vehicle Rental</w:t>
            </w:r>
          </w:p>
        </w:tc>
        <w:tc>
          <w:tcPr>
            <w:tcW w:w="4140" w:type="dxa"/>
            <w:vAlign w:val="center"/>
          </w:tcPr>
          <w:p w14:paraId="7A6504BF" w14:textId="77777777" w:rsidR="00BC646B" w:rsidRDefault="00BC646B" w:rsidP="00A910FA">
            <w:pPr>
              <w:rPr>
                <w:rFonts w:ascii="Lato" w:eastAsia="Aptos" w:hAnsi="Lato"/>
                <w:kern w:val="2"/>
              </w:rPr>
            </w:pPr>
            <w:r>
              <w:rPr>
                <w:rFonts w:ascii="Lato" w:eastAsia="Aptos" w:hAnsi="Lato" w:cs="Tahoma"/>
                <w:color w:val="000000"/>
                <w:kern w:val="2"/>
              </w:rPr>
              <w:t xml:space="preserve">Mogadishu, Baidoa, Garowe, Elbarde, </w:t>
            </w:r>
            <w:proofErr w:type="spellStart"/>
            <w:r>
              <w:rPr>
                <w:rFonts w:ascii="Lato" w:eastAsia="Aptos" w:hAnsi="Lato" w:cs="Tahoma"/>
                <w:color w:val="000000"/>
                <w:kern w:val="2"/>
              </w:rPr>
              <w:t>Yeed</w:t>
            </w:r>
            <w:proofErr w:type="spellEnd"/>
            <w:r>
              <w:rPr>
                <w:rFonts w:ascii="Lato" w:eastAsia="Aptos" w:hAnsi="Lato" w:cs="Tahoma"/>
                <w:color w:val="000000"/>
                <w:kern w:val="2"/>
              </w:rPr>
              <w:t>, Wajid, Hudur and Kismayo</w:t>
            </w:r>
          </w:p>
        </w:tc>
      </w:tr>
      <w:tr w:rsidR="00BC646B" w14:paraId="34C17C53" w14:textId="77777777" w:rsidTr="00284F62">
        <w:trPr>
          <w:trHeight w:val="858"/>
        </w:trPr>
        <w:tc>
          <w:tcPr>
            <w:tcW w:w="630" w:type="dxa"/>
            <w:vAlign w:val="center"/>
          </w:tcPr>
          <w:p w14:paraId="4E4EAE8D" w14:textId="77777777" w:rsidR="00BC646B" w:rsidRDefault="00BC646B" w:rsidP="00A910FA">
            <w:pPr>
              <w:rPr>
                <w:rFonts w:ascii="Lato" w:eastAsia="Aptos" w:hAnsi="Lato"/>
                <w:kern w:val="2"/>
              </w:rPr>
            </w:pPr>
            <w:r>
              <w:rPr>
                <w:rFonts w:ascii="Lato" w:eastAsia="Aptos" w:hAnsi="Lato" w:cs="Calibri"/>
                <w:color w:val="000000"/>
                <w:kern w:val="2"/>
              </w:rPr>
              <w:t>5</w:t>
            </w:r>
          </w:p>
        </w:tc>
        <w:tc>
          <w:tcPr>
            <w:tcW w:w="2520" w:type="dxa"/>
            <w:vAlign w:val="center"/>
          </w:tcPr>
          <w:p w14:paraId="3B8B4704" w14:textId="77777777" w:rsidR="00BC646B" w:rsidRDefault="00BC646B" w:rsidP="00A910FA">
            <w:pPr>
              <w:rPr>
                <w:rFonts w:ascii="Lato" w:eastAsia="Aptos" w:hAnsi="Lato"/>
                <w:kern w:val="2"/>
              </w:rPr>
            </w:pPr>
            <w:r>
              <w:rPr>
                <w:rFonts w:ascii="Lato" w:eastAsia="Aptos" w:hAnsi="Lato" w:cs="Calibri"/>
                <w:color w:val="000000"/>
                <w:kern w:val="2"/>
              </w:rPr>
              <w:t>SOM/FA/ 005</w:t>
            </w:r>
          </w:p>
        </w:tc>
        <w:tc>
          <w:tcPr>
            <w:tcW w:w="4230" w:type="dxa"/>
            <w:vAlign w:val="center"/>
          </w:tcPr>
          <w:p w14:paraId="69303E97" w14:textId="77777777" w:rsidR="00BC646B" w:rsidRDefault="00BC646B" w:rsidP="00A910FA">
            <w:pPr>
              <w:rPr>
                <w:rFonts w:ascii="Lato" w:eastAsia="Aptos" w:hAnsi="Lato" w:cs="Tahoma"/>
                <w:color w:val="000000"/>
                <w:kern w:val="2"/>
              </w:rPr>
            </w:pPr>
            <w:r>
              <w:rPr>
                <w:rFonts w:ascii="Lato" w:eastAsia="Aptos" w:hAnsi="Lato" w:cs="Tahoma"/>
                <w:color w:val="000000"/>
                <w:kern w:val="2"/>
              </w:rPr>
              <w:t>Truck Rental</w:t>
            </w:r>
          </w:p>
        </w:tc>
        <w:tc>
          <w:tcPr>
            <w:tcW w:w="4140" w:type="dxa"/>
            <w:vAlign w:val="center"/>
          </w:tcPr>
          <w:p w14:paraId="7ADE1466" w14:textId="77777777" w:rsidR="00BC646B" w:rsidRDefault="00BC646B" w:rsidP="00A910FA">
            <w:pPr>
              <w:rPr>
                <w:rFonts w:ascii="Lato" w:eastAsia="Aptos" w:hAnsi="Lato"/>
                <w:kern w:val="2"/>
              </w:rPr>
            </w:pPr>
            <w:r>
              <w:rPr>
                <w:rFonts w:ascii="Lato" w:eastAsia="Aptos" w:hAnsi="Lato" w:cs="Tahoma"/>
                <w:color w:val="000000"/>
                <w:kern w:val="2"/>
              </w:rPr>
              <w:t xml:space="preserve">Mogadishu, Baidoa, Garowe, Elbarde, </w:t>
            </w:r>
            <w:proofErr w:type="spellStart"/>
            <w:r>
              <w:rPr>
                <w:rFonts w:ascii="Lato" w:eastAsia="Aptos" w:hAnsi="Lato" w:cs="Tahoma"/>
                <w:color w:val="000000"/>
                <w:kern w:val="2"/>
              </w:rPr>
              <w:t>Yeed</w:t>
            </w:r>
            <w:proofErr w:type="spellEnd"/>
            <w:r>
              <w:rPr>
                <w:rFonts w:ascii="Lato" w:eastAsia="Aptos" w:hAnsi="Lato" w:cs="Tahoma"/>
                <w:color w:val="000000"/>
                <w:kern w:val="2"/>
              </w:rPr>
              <w:t>, Wajid, Hudur and Kismayo</w:t>
            </w:r>
          </w:p>
        </w:tc>
      </w:tr>
      <w:tr w:rsidR="00BC646B" w14:paraId="3980D97E" w14:textId="77777777" w:rsidTr="00284F62">
        <w:trPr>
          <w:trHeight w:val="873"/>
        </w:trPr>
        <w:tc>
          <w:tcPr>
            <w:tcW w:w="630" w:type="dxa"/>
            <w:vAlign w:val="center"/>
          </w:tcPr>
          <w:p w14:paraId="7DCB4BF3" w14:textId="77777777" w:rsidR="00BC646B" w:rsidRDefault="00BC646B" w:rsidP="00A910FA">
            <w:pPr>
              <w:rPr>
                <w:rFonts w:ascii="Lato" w:eastAsia="Aptos" w:hAnsi="Lato"/>
                <w:kern w:val="2"/>
              </w:rPr>
            </w:pPr>
            <w:r>
              <w:rPr>
                <w:rFonts w:ascii="Lato" w:eastAsia="Aptos" w:hAnsi="Lato" w:cs="Calibri"/>
                <w:color w:val="000000"/>
                <w:kern w:val="2"/>
              </w:rPr>
              <w:t>6</w:t>
            </w:r>
          </w:p>
        </w:tc>
        <w:tc>
          <w:tcPr>
            <w:tcW w:w="2520" w:type="dxa"/>
            <w:vAlign w:val="center"/>
          </w:tcPr>
          <w:p w14:paraId="7B2D9446" w14:textId="77777777" w:rsidR="00BC646B" w:rsidRDefault="00BC646B" w:rsidP="00A910FA">
            <w:pPr>
              <w:rPr>
                <w:rFonts w:ascii="Lato" w:eastAsia="Aptos" w:hAnsi="Lato"/>
                <w:kern w:val="2"/>
              </w:rPr>
            </w:pPr>
            <w:r>
              <w:rPr>
                <w:rFonts w:ascii="Lato" w:eastAsia="Aptos" w:hAnsi="Lato" w:cs="Calibri"/>
                <w:color w:val="000000"/>
                <w:kern w:val="2"/>
              </w:rPr>
              <w:t>SOM/FA/ 006</w:t>
            </w:r>
          </w:p>
        </w:tc>
        <w:tc>
          <w:tcPr>
            <w:tcW w:w="4230" w:type="dxa"/>
            <w:vAlign w:val="center"/>
          </w:tcPr>
          <w:p w14:paraId="1E9E29F5" w14:textId="77777777" w:rsidR="00BC646B" w:rsidRDefault="00BC646B" w:rsidP="00A910FA">
            <w:pPr>
              <w:rPr>
                <w:rFonts w:ascii="Lato" w:eastAsia="Aptos" w:hAnsi="Lato" w:cs="Tahoma"/>
                <w:color w:val="000000"/>
                <w:kern w:val="2"/>
              </w:rPr>
            </w:pPr>
            <w:r>
              <w:rPr>
                <w:rFonts w:ascii="Lato" w:eastAsia="Aptos" w:hAnsi="Lato" w:cs="Tahoma"/>
                <w:color w:val="000000"/>
                <w:kern w:val="2"/>
              </w:rPr>
              <w:t>Printing Materials &amp; visibilities Services</w:t>
            </w:r>
          </w:p>
        </w:tc>
        <w:tc>
          <w:tcPr>
            <w:tcW w:w="4140" w:type="dxa"/>
            <w:vAlign w:val="center"/>
          </w:tcPr>
          <w:p w14:paraId="34BC5E77" w14:textId="77777777" w:rsidR="00BC646B" w:rsidRDefault="00BC646B" w:rsidP="00A910FA">
            <w:pPr>
              <w:rPr>
                <w:rFonts w:ascii="Lato" w:eastAsia="Aptos" w:hAnsi="Lato"/>
                <w:kern w:val="2"/>
              </w:rPr>
            </w:pPr>
            <w:r>
              <w:rPr>
                <w:rFonts w:ascii="Lato" w:eastAsia="Aptos" w:hAnsi="Lato" w:cs="Tahoma"/>
                <w:color w:val="000000"/>
                <w:kern w:val="2"/>
              </w:rPr>
              <w:t xml:space="preserve">Mogadishu, Baidoa, Garowe, Elbarde, </w:t>
            </w:r>
            <w:proofErr w:type="spellStart"/>
            <w:r>
              <w:rPr>
                <w:rFonts w:ascii="Lato" w:eastAsia="Aptos" w:hAnsi="Lato" w:cs="Tahoma"/>
                <w:color w:val="000000"/>
                <w:kern w:val="2"/>
              </w:rPr>
              <w:t>Yeed</w:t>
            </w:r>
            <w:proofErr w:type="spellEnd"/>
            <w:r>
              <w:rPr>
                <w:rFonts w:ascii="Lato" w:eastAsia="Aptos" w:hAnsi="Lato" w:cs="Tahoma"/>
                <w:color w:val="000000"/>
                <w:kern w:val="2"/>
              </w:rPr>
              <w:t>, Wajid, Hudur and Kismayo</w:t>
            </w:r>
          </w:p>
        </w:tc>
      </w:tr>
      <w:tr w:rsidR="00BC646B" w14:paraId="49E7DA26" w14:textId="77777777" w:rsidTr="00284F62">
        <w:trPr>
          <w:trHeight w:val="858"/>
        </w:trPr>
        <w:tc>
          <w:tcPr>
            <w:tcW w:w="630" w:type="dxa"/>
            <w:vAlign w:val="center"/>
          </w:tcPr>
          <w:p w14:paraId="1F247D95" w14:textId="77777777" w:rsidR="00BC646B" w:rsidRDefault="00BC646B" w:rsidP="00A910FA">
            <w:pPr>
              <w:rPr>
                <w:rFonts w:ascii="Lato" w:eastAsia="Aptos" w:hAnsi="Lato"/>
                <w:kern w:val="2"/>
              </w:rPr>
            </w:pPr>
            <w:r>
              <w:rPr>
                <w:rFonts w:ascii="Lato" w:eastAsia="Aptos" w:hAnsi="Lato" w:cs="Calibri"/>
                <w:color w:val="000000"/>
                <w:kern w:val="2"/>
              </w:rPr>
              <w:t>7</w:t>
            </w:r>
          </w:p>
        </w:tc>
        <w:tc>
          <w:tcPr>
            <w:tcW w:w="2520" w:type="dxa"/>
            <w:vAlign w:val="center"/>
          </w:tcPr>
          <w:p w14:paraId="55F2898E" w14:textId="77777777" w:rsidR="00BC646B" w:rsidRDefault="00BC646B" w:rsidP="00A910FA">
            <w:pPr>
              <w:rPr>
                <w:rFonts w:ascii="Lato" w:eastAsia="Aptos" w:hAnsi="Lato"/>
                <w:kern w:val="2"/>
              </w:rPr>
            </w:pPr>
            <w:r>
              <w:rPr>
                <w:rFonts w:ascii="Lato" w:eastAsia="Aptos" w:hAnsi="Lato" w:cs="Calibri"/>
                <w:color w:val="000000"/>
                <w:kern w:val="2"/>
              </w:rPr>
              <w:t>SOM/FA/ 007</w:t>
            </w:r>
          </w:p>
        </w:tc>
        <w:tc>
          <w:tcPr>
            <w:tcW w:w="4230" w:type="dxa"/>
            <w:vAlign w:val="center"/>
          </w:tcPr>
          <w:p w14:paraId="5493F0EA" w14:textId="77777777" w:rsidR="00BC646B" w:rsidRDefault="00BC646B" w:rsidP="00A910FA">
            <w:pPr>
              <w:rPr>
                <w:rFonts w:ascii="Lato" w:eastAsia="Aptos" w:hAnsi="Lato" w:cs="Tahoma"/>
                <w:color w:val="000000"/>
                <w:kern w:val="2"/>
              </w:rPr>
            </w:pPr>
            <w:r>
              <w:rPr>
                <w:rFonts w:ascii="Lato" w:eastAsia="Aptos" w:hAnsi="Lato" w:cs="Tahoma"/>
                <w:color w:val="000000"/>
                <w:kern w:val="2"/>
              </w:rPr>
              <w:t>Supply of Office Stationery</w:t>
            </w:r>
          </w:p>
        </w:tc>
        <w:tc>
          <w:tcPr>
            <w:tcW w:w="4140" w:type="dxa"/>
            <w:vAlign w:val="center"/>
          </w:tcPr>
          <w:p w14:paraId="4A8E232A" w14:textId="77777777" w:rsidR="00BC646B" w:rsidRDefault="00BC646B" w:rsidP="00A910FA">
            <w:pPr>
              <w:rPr>
                <w:rFonts w:ascii="Lato" w:eastAsia="Aptos" w:hAnsi="Lato"/>
                <w:kern w:val="2"/>
              </w:rPr>
            </w:pPr>
            <w:r>
              <w:rPr>
                <w:rFonts w:ascii="Lato" w:eastAsia="Aptos" w:hAnsi="Lato" w:cs="Tahoma"/>
                <w:color w:val="000000"/>
                <w:kern w:val="2"/>
              </w:rPr>
              <w:t xml:space="preserve">Mogadishu, Baidoa, Garowe, Elbarde, </w:t>
            </w:r>
            <w:proofErr w:type="spellStart"/>
            <w:r>
              <w:rPr>
                <w:rFonts w:ascii="Lato" w:eastAsia="Aptos" w:hAnsi="Lato" w:cs="Tahoma"/>
                <w:color w:val="000000"/>
                <w:kern w:val="2"/>
              </w:rPr>
              <w:t>Yeed</w:t>
            </w:r>
            <w:proofErr w:type="spellEnd"/>
            <w:r>
              <w:rPr>
                <w:rFonts w:ascii="Lato" w:eastAsia="Aptos" w:hAnsi="Lato" w:cs="Tahoma"/>
                <w:color w:val="000000"/>
                <w:kern w:val="2"/>
              </w:rPr>
              <w:t>, Wajid, Hudur and Kismayo</w:t>
            </w:r>
          </w:p>
        </w:tc>
      </w:tr>
      <w:tr w:rsidR="00BC646B" w14:paraId="26404895" w14:textId="77777777" w:rsidTr="00284F62">
        <w:trPr>
          <w:trHeight w:val="740"/>
        </w:trPr>
        <w:tc>
          <w:tcPr>
            <w:tcW w:w="630" w:type="dxa"/>
            <w:vAlign w:val="center"/>
          </w:tcPr>
          <w:p w14:paraId="5EA8C01D" w14:textId="77777777" w:rsidR="00BC646B" w:rsidRDefault="00BC646B" w:rsidP="00A910FA">
            <w:pPr>
              <w:rPr>
                <w:rFonts w:ascii="Lato" w:eastAsia="Aptos" w:hAnsi="Lato"/>
                <w:kern w:val="2"/>
              </w:rPr>
            </w:pPr>
            <w:r>
              <w:rPr>
                <w:rFonts w:ascii="Lato" w:eastAsia="Aptos" w:hAnsi="Lato" w:cs="Calibri"/>
                <w:color w:val="000000"/>
                <w:kern w:val="2"/>
              </w:rPr>
              <w:t>8</w:t>
            </w:r>
          </w:p>
        </w:tc>
        <w:tc>
          <w:tcPr>
            <w:tcW w:w="2520" w:type="dxa"/>
            <w:vAlign w:val="center"/>
          </w:tcPr>
          <w:p w14:paraId="0ADF1059" w14:textId="77777777" w:rsidR="00BC646B" w:rsidRDefault="00BC646B" w:rsidP="00A910FA">
            <w:pPr>
              <w:rPr>
                <w:rFonts w:ascii="Lato" w:eastAsia="Aptos" w:hAnsi="Lato"/>
                <w:kern w:val="2"/>
              </w:rPr>
            </w:pPr>
            <w:r>
              <w:rPr>
                <w:rFonts w:ascii="Lato" w:eastAsia="Aptos" w:hAnsi="Lato" w:cs="Calibri"/>
                <w:color w:val="000000"/>
                <w:kern w:val="2"/>
              </w:rPr>
              <w:t>SOM/FA/ 008</w:t>
            </w:r>
          </w:p>
        </w:tc>
        <w:tc>
          <w:tcPr>
            <w:tcW w:w="4230" w:type="dxa"/>
            <w:vAlign w:val="center"/>
          </w:tcPr>
          <w:p w14:paraId="2A82EAD1" w14:textId="77777777" w:rsidR="00BC646B" w:rsidRDefault="00BC646B" w:rsidP="00A910FA">
            <w:pPr>
              <w:rPr>
                <w:rFonts w:ascii="Lato" w:eastAsia="Aptos" w:hAnsi="Lato" w:cs="Tahoma"/>
                <w:color w:val="000000"/>
                <w:kern w:val="2"/>
              </w:rPr>
            </w:pPr>
            <w:r>
              <w:rPr>
                <w:rFonts w:ascii="Lato" w:eastAsia="Aptos" w:hAnsi="Lato" w:cs="Tahoma"/>
                <w:color w:val="000000"/>
                <w:kern w:val="2"/>
              </w:rPr>
              <w:t xml:space="preserve">Supply of Dry and Fresh Foods </w:t>
            </w:r>
          </w:p>
        </w:tc>
        <w:tc>
          <w:tcPr>
            <w:tcW w:w="4140" w:type="dxa"/>
            <w:vAlign w:val="center"/>
          </w:tcPr>
          <w:p w14:paraId="7B772E83" w14:textId="77777777" w:rsidR="00BC646B" w:rsidRDefault="00BC646B" w:rsidP="00A910FA">
            <w:pPr>
              <w:rPr>
                <w:rFonts w:ascii="Lato" w:eastAsia="Aptos" w:hAnsi="Lato"/>
                <w:kern w:val="2"/>
              </w:rPr>
            </w:pPr>
            <w:r>
              <w:rPr>
                <w:rFonts w:ascii="Lato" w:eastAsia="Aptos" w:hAnsi="Lato" w:cs="Tahoma"/>
                <w:color w:val="000000"/>
                <w:kern w:val="2"/>
              </w:rPr>
              <w:t xml:space="preserve">Mogadishu, Baidoa, Garowe, Elbarde, </w:t>
            </w:r>
            <w:proofErr w:type="spellStart"/>
            <w:r>
              <w:rPr>
                <w:rFonts w:ascii="Lato" w:eastAsia="Aptos" w:hAnsi="Lato" w:cs="Tahoma"/>
                <w:color w:val="000000"/>
                <w:kern w:val="2"/>
              </w:rPr>
              <w:t>Yeed</w:t>
            </w:r>
            <w:proofErr w:type="spellEnd"/>
            <w:r>
              <w:rPr>
                <w:rFonts w:ascii="Lato" w:eastAsia="Aptos" w:hAnsi="Lato" w:cs="Tahoma"/>
                <w:color w:val="000000"/>
                <w:kern w:val="2"/>
              </w:rPr>
              <w:t>, Wajid, Hudur and Kismayo</w:t>
            </w:r>
          </w:p>
        </w:tc>
      </w:tr>
      <w:tr w:rsidR="00BC646B" w14:paraId="554941EE" w14:textId="77777777" w:rsidTr="00284F62">
        <w:trPr>
          <w:trHeight w:val="1159"/>
        </w:trPr>
        <w:tc>
          <w:tcPr>
            <w:tcW w:w="630" w:type="dxa"/>
            <w:vAlign w:val="center"/>
          </w:tcPr>
          <w:p w14:paraId="0B2D52AD" w14:textId="77777777" w:rsidR="00BC646B" w:rsidRDefault="00BC646B" w:rsidP="00A910FA">
            <w:pPr>
              <w:rPr>
                <w:rFonts w:ascii="Lato" w:eastAsia="Aptos" w:hAnsi="Lato"/>
                <w:kern w:val="2"/>
              </w:rPr>
            </w:pPr>
            <w:r>
              <w:rPr>
                <w:rFonts w:ascii="Lato" w:eastAsia="Aptos" w:hAnsi="Lato" w:cs="Calibri"/>
                <w:color w:val="000000"/>
                <w:kern w:val="2"/>
              </w:rPr>
              <w:t>9</w:t>
            </w:r>
          </w:p>
        </w:tc>
        <w:tc>
          <w:tcPr>
            <w:tcW w:w="2520" w:type="dxa"/>
            <w:vAlign w:val="center"/>
          </w:tcPr>
          <w:p w14:paraId="64C96274" w14:textId="77777777" w:rsidR="00BC646B" w:rsidRDefault="00BC646B" w:rsidP="00A910FA">
            <w:pPr>
              <w:rPr>
                <w:rFonts w:ascii="Lato" w:eastAsia="Aptos" w:hAnsi="Lato"/>
                <w:kern w:val="2"/>
              </w:rPr>
            </w:pPr>
            <w:r>
              <w:rPr>
                <w:rFonts w:ascii="Lato" w:eastAsia="Aptos" w:hAnsi="Lato" w:cs="Calibri"/>
                <w:color w:val="000000"/>
                <w:kern w:val="2"/>
              </w:rPr>
              <w:t>SOM/FA/ 009</w:t>
            </w:r>
          </w:p>
        </w:tc>
        <w:tc>
          <w:tcPr>
            <w:tcW w:w="4230" w:type="dxa"/>
            <w:vAlign w:val="center"/>
          </w:tcPr>
          <w:p w14:paraId="1CD2F168" w14:textId="77777777" w:rsidR="00BC646B" w:rsidRDefault="00BC646B" w:rsidP="00A910FA">
            <w:pPr>
              <w:rPr>
                <w:rFonts w:ascii="Lato" w:eastAsia="Aptos" w:hAnsi="Lato" w:cs="Tahoma"/>
                <w:color w:val="000000"/>
                <w:kern w:val="2"/>
              </w:rPr>
            </w:pPr>
            <w:r>
              <w:rPr>
                <w:rFonts w:ascii="Lato" w:eastAsia="Aptos" w:hAnsi="Lato" w:cs="Tahoma"/>
                <w:color w:val="000000"/>
                <w:kern w:val="2"/>
              </w:rPr>
              <w:t>Supply of Water, Sanitation and Hygiene WASH supplies (e.g. chlorine tabs, soaps) (Emergency Relief Kits (cooking kits, Dignity kits, Hygiene kits))</w:t>
            </w:r>
          </w:p>
        </w:tc>
        <w:tc>
          <w:tcPr>
            <w:tcW w:w="4140" w:type="dxa"/>
            <w:vAlign w:val="center"/>
          </w:tcPr>
          <w:p w14:paraId="6383E085" w14:textId="77777777" w:rsidR="00BC646B" w:rsidRDefault="00BC646B" w:rsidP="00A910FA">
            <w:pPr>
              <w:rPr>
                <w:rFonts w:ascii="Lato" w:eastAsia="Aptos" w:hAnsi="Lato"/>
                <w:kern w:val="2"/>
              </w:rPr>
            </w:pPr>
            <w:r>
              <w:rPr>
                <w:rFonts w:ascii="Lato" w:eastAsia="Aptos" w:hAnsi="Lato" w:cs="Tahoma"/>
                <w:color w:val="000000"/>
                <w:kern w:val="2"/>
              </w:rPr>
              <w:t xml:space="preserve">Mogadishu, Baidoa, Garowe, Elbarde, </w:t>
            </w:r>
            <w:proofErr w:type="spellStart"/>
            <w:r>
              <w:rPr>
                <w:rFonts w:ascii="Lato" w:eastAsia="Aptos" w:hAnsi="Lato" w:cs="Tahoma"/>
                <w:color w:val="000000"/>
                <w:kern w:val="2"/>
              </w:rPr>
              <w:t>Yeed</w:t>
            </w:r>
            <w:proofErr w:type="spellEnd"/>
            <w:r>
              <w:rPr>
                <w:rFonts w:ascii="Lato" w:eastAsia="Aptos" w:hAnsi="Lato" w:cs="Tahoma"/>
                <w:color w:val="000000"/>
                <w:kern w:val="2"/>
              </w:rPr>
              <w:t>, Wajid, Hudur and Kismayo</w:t>
            </w:r>
          </w:p>
        </w:tc>
      </w:tr>
      <w:tr w:rsidR="00BC646B" w14:paraId="3673D3BE" w14:textId="77777777" w:rsidTr="00284F62">
        <w:trPr>
          <w:trHeight w:val="572"/>
        </w:trPr>
        <w:tc>
          <w:tcPr>
            <w:tcW w:w="630" w:type="dxa"/>
            <w:vAlign w:val="center"/>
          </w:tcPr>
          <w:p w14:paraId="76732BB6" w14:textId="77777777" w:rsidR="00BC646B" w:rsidRDefault="00BC646B" w:rsidP="00A910FA">
            <w:pPr>
              <w:rPr>
                <w:rFonts w:ascii="Lato" w:eastAsia="Aptos" w:hAnsi="Lato"/>
                <w:kern w:val="2"/>
              </w:rPr>
            </w:pPr>
            <w:r>
              <w:rPr>
                <w:rFonts w:ascii="Lato" w:eastAsia="Aptos" w:hAnsi="Lato" w:cs="Calibri"/>
                <w:color w:val="000000"/>
                <w:kern w:val="2"/>
              </w:rPr>
              <w:lastRenderedPageBreak/>
              <w:t>10</w:t>
            </w:r>
          </w:p>
        </w:tc>
        <w:tc>
          <w:tcPr>
            <w:tcW w:w="2520" w:type="dxa"/>
            <w:vAlign w:val="center"/>
          </w:tcPr>
          <w:p w14:paraId="3B60E6AB" w14:textId="77777777" w:rsidR="00BC646B" w:rsidRDefault="00BC646B" w:rsidP="00A910FA">
            <w:pPr>
              <w:rPr>
                <w:rFonts w:ascii="Lato" w:eastAsia="Aptos" w:hAnsi="Lato"/>
                <w:kern w:val="2"/>
              </w:rPr>
            </w:pPr>
            <w:r>
              <w:rPr>
                <w:rFonts w:ascii="Lato" w:eastAsia="Aptos" w:hAnsi="Lato" w:cs="Calibri"/>
                <w:color w:val="000000"/>
                <w:kern w:val="2"/>
              </w:rPr>
              <w:t>SOM/FA/ 011</w:t>
            </w:r>
          </w:p>
        </w:tc>
        <w:tc>
          <w:tcPr>
            <w:tcW w:w="4230" w:type="dxa"/>
            <w:vAlign w:val="center"/>
          </w:tcPr>
          <w:p w14:paraId="0F7E0A36" w14:textId="77777777" w:rsidR="00BC646B" w:rsidRDefault="00BC646B" w:rsidP="00A910FA">
            <w:pPr>
              <w:rPr>
                <w:rFonts w:ascii="Lato" w:eastAsia="Aptos" w:hAnsi="Lato" w:cs="Tahoma"/>
                <w:color w:val="000000"/>
                <w:kern w:val="2"/>
              </w:rPr>
            </w:pPr>
            <w:r>
              <w:rPr>
                <w:rFonts w:ascii="Lato" w:eastAsia="Aptos" w:hAnsi="Lato" w:cs="Tahoma"/>
                <w:color w:val="000000"/>
                <w:kern w:val="2"/>
              </w:rPr>
              <w:t>Comprehensive Motor Vehicle Insurance Services</w:t>
            </w:r>
          </w:p>
        </w:tc>
        <w:tc>
          <w:tcPr>
            <w:tcW w:w="4140" w:type="dxa"/>
            <w:vAlign w:val="center"/>
          </w:tcPr>
          <w:p w14:paraId="715A7628" w14:textId="77777777" w:rsidR="00BC646B" w:rsidRDefault="00BC646B" w:rsidP="00A910FA">
            <w:pPr>
              <w:rPr>
                <w:rFonts w:ascii="Lato" w:eastAsia="Aptos" w:hAnsi="Lato"/>
                <w:kern w:val="2"/>
              </w:rPr>
            </w:pPr>
            <w:r>
              <w:rPr>
                <w:rFonts w:ascii="Lato" w:eastAsia="Aptos" w:hAnsi="Lato" w:cs="Tahoma"/>
                <w:color w:val="000000"/>
                <w:kern w:val="2"/>
              </w:rPr>
              <w:t>Mogadishu and Baidoa</w:t>
            </w:r>
          </w:p>
        </w:tc>
      </w:tr>
      <w:tr w:rsidR="00BC646B" w14:paraId="3732D9A6" w14:textId="77777777" w:rsidTr="00BE4F8D">
        <w:trPr>
          <w:trHeight w:val="80"/>
        </w:trPr>
        <w:tc>
          <w:tcPr>
            <w:tcW w:w="630" w:type="dxa"/>
            <w:vAlign w:val="center"/>
          </w:tcPr>
          <w:p w14:paraId="148EF991" w14:textId="77777777" w:rsidR="00BC646B" w:rsidRDefault="00BC646B" w:rsidP="00A910FA">
            <w:pPr>
              <w:rPr>
                <w:rFonts w:ascii="Lato" w:eastAsia="Aptos" w:hAnsi="Lato" w:cs="Calibri"/>
                <w:color w:val="000000"/>
                <w:kern w:val="2"/>
              </w:rPr>
            </w:pPr>
            <w:r>
              <w:rPr>
                <w:rFonts w:ascii="Lato" w:eastAsia="Aptos" w:hAnsi="Lato" w:cs="Calibri"/>
                <w:color w:val="000000"/>
                <w:kern w:val="2"/>
              </w:rPr>
              <w:t>11</w:t>
            </w:r>
          </w:p>
        </w:tc>
        <w:tc>
          <w:tcPr>
            <w:tcW w:w="2520" w:type="dxa"/>
            <w:vAlign w:val="center"/>
          </w:tcPr>
          <w:p w14:paraId="4C08E579" w14:textId="77777777" w:rsidR="00BC646B" w:rsidRDefault="00BC646B" w:rsidP="00A910FA">
            <w:pPr>
              <w:rPr>
                <w:rFonts w:ascii="Lato" w:eastAsia="Aptos" w:hAnsi="Lato" w:cs="Calibri"/>
                <w:color w:val="000000"/>
                <w:kern w:val="2"/>
              </w:rPr>
            </w:pPr>
            <w:r>
              <w:rPr>
                <w:rFonts w:ascii="Lato" w:eastAsia="Aptos" w:hAnsi="Lato" w:cs="Calibri"/>
                <w:color w:val="000000"/>
                <w:kern w:val="2"/>
              </w:rPr>
              <w:t>SOM/FA/012</w:t>
            </w:r>
          </w:p>
        </w:tc>
        <w:tc>
          <w:tcPr>
            <w:tcW w:w="4230" w:type="dxa"/>
            <w:vAlign w:val="center"/>
          </w:tcPr>
          <w:p w14:paraId="0C583CD6" w14:textId="77777777" w:rsidR="00BC646B" w:rsidRDefault="00BC646B" w:rsidP="00A910FA">
            <w:pPr>
              <w:rPr>
                <w:rFonts w:ascii="Lato" w:eastAsia="Aptos" w:hAnsi="Lato" w:cs="Tahoma"/>
                <w:color w:val="000000"/>
                <w:kern w:val="2"/>
              </w:rPr>
            </w:pPr>
            <w:r>
              <w:rPr>
                <w:rFonts w:ascii="Lato" w:eastAsia="Aptos" w:hAnsi="Lato" w:cs="Tahoma"/>
                <w:color w:val="000000"/>
                <w:kern w:val="2"/>
              </w:rPr>
              <w:t>Provision of Security services</w:t>
            </w:r>
          </w:p>
        </w:tc>
        <w:tc>
          <w:tcPr>
            <w:tcW w:w="4140" w:type="dxa"/>
            <w:vAlign w:val="center"/>
          </w:tcPr>
          <w:p w14:paraId="3022841B" w14:textId="77777777" w:rsidR="00BC646B" w:rsidRDefault="00BC646B" w:rsidP="00A910FA">
            <w:pPr>
              <w:rPr>
                <w:rFonts w:ascii="Lato" w:eastAsia="Aptos" w:hAnsi="Lato" w:cs="Tahoma"/>
                <w:color w:val="000000"/>
                <w:kern w:val="2"/>
              </w:rPr>
            </w:pPr>
            <w:r>
              <w:rPr>
                <w:rFonts w:ascii="Lato" w:eastAsia="Aptos" w:hAnsi="Lato" w:cs="Tahoma"/>
                <w:color w:val="000000"/>
                <w:kern w:val="2"/>
              </w:rPr>
              <w:t xml:space="preserve">Baidoa, Elbarde, </w:t>
            </w:r>
            <w:proofErr w:type="spellStart"/>
            <w:r>
              <w:rPr>
                <w:rFonts w:ascii="Lato" w:eastAsia="Aptos" w:hAnsi="Lato" w:cs="Tahoma"/>
                <w:color w:val="000000"/>
                <w:kern w:val="2"/>
              </w:rPr>
              <w:t>Yeed</w:t>
            </w:r>
            <w:proofErr w:type="spellEnd"/>
            <w:r>
              <w:rPr>
                <w:rFonts w:ascii="Lato" w:eastAsia="Aptos" w:hAnsi="Lato" w:cs="Tahoma"/>
                <w:color w:val="000000"/>
                <w:kern w:val="2"/>
              </w:rPr>
              <w:t>, Wajid, and Hudur,</w:t>
            </w:r>
          </w:p>
        </w:tc>
      </w:tr>
    </w:tbl>
    <w:p w14:paraId="34F53A1D" w14:textId="77777777" w:rsidR="005C769A" w:rsidRDefault="00000000">
      <w:pPr>
        <w:pStyle w:val="Heading2"/>
      </w:pPr>
      <w:r>
        <w:t>3. Mandatory Eligibility Requirements (Pass/Fail)</w:t>
      </w:r>
    </w:p>
    <w:p w14:paraId="3EC329ED" w14:textId="5F8EC7F2" w:rsidR="005C769A" w:rsidRDefault="006A21CE">
      <w:r>
        <w:t xml:space="preserve">1. Valid business registration certificate </w:t>
      </w:r>
      <w:r w:rsidRPr="006A21CE">
        <w:t xml:space="preserve">from respective Authority based on </w:t>
      </w:r>
      <w:r w:rsidR="0043772B">
        <w:t xml:space="preserve">specific location of interest. </w:t>
      </w:r>
    </w:p>
    <w:p w14:paraId="602C3632" w14:textId="5ACE8BEA" w:rsidR="005C769A" w:rsidRDefault="006A21CE">
      <w:r>
        <w:t xml:space="preserve">2. Evidence of </w:t>
      </w:r>
      <w:r w:rsidR="0043772B">
        <w:t>verifiable</w:t>
      </w:r>
      <w:r>
        <w:t xml:space="preserve"> business address and operational presence</w:t>
      </w:r>
      <w:r w:rsidR="0043772B">
        <w:t xml:space="preserve">. </w:t>
      </w:r>
    </w:p>
    <w:p w14:paraId="1B2818D9" w14:textId="4771567C" w:rsidR="005C769A" w:rsidRDefault="006A21CE">
      <w:r>
        <w:t xml:space="preserve">3. Valid </w:t>
      </w:r>
      <w:r w:rsidR="0043772B">
        <w:t xml:space="preserve">up to date </w:t>
      </w:r>
      <w:r>
        <w:t xml:space="preserve">Tax Clearance Certificate from the relevant authority </w:t>
      </w:r>
      <w:r w:rsidRPr="006A21CE">
        <w:t>from respective Authority based on Application location</w:t>
      </w:r>
      <w:r w:rsidR="0043772B">
        <w:t xml:space="preserve">. </w:t>
      </w:r>
    </w:p>
    <w:p w14:paraId="0678C7D2" w14:textId="07676091" w:rsidR="005C769A" w:rsidRDefault="00000000">
      <w:pPr>
        <w:pStyle w:val="Heading2"/>
      </w:pPr>
      <w:r>
        <w:t xml:space="preserve">4. </w:t>
      </w:r>
      <w:r w:rsidRPr="00C20294">
        <w:rPr>
          <w:sz w:val="22"/>
          <w:szCs w:val="22"/>
        </w:rPr>
        <w:t>Technical Evaluation Criteria (</w:t>
      </w:r>
      <w:r w:rsidR="00C20294" w:rsidRPr="00C20294">
        <w:rPr>
          <w:sz w:val="22"/>
          <w:szCs w:val="22"/>
        </w:rPr>
        <w:t>10</w:t>
      </w:r>
      <w:r w:rsidRPr="00C20294">
        <w:rPr>
          <w:sz w:val="22"/>
          <w:szCs w:val="22"/>
        </w:rPr>
        <w:t>0 Marks)</w:t>
      </w:r>
      <w:r w:rsidR="00BC646B" w:rsidRPr="00C20294">
        <w:rPr>
          <w:sz w:val="22"/>
          <w:szCs w:val="22"/>
        </w:rPr>
        <w:t xml:space="preserve"> for All categories except Air Ticket &amp; Cargo</w:t>
      </w:r>
    </w:p>
    <w:tbl>
      <w:tblPr>
        <w:tblStyle w:val="TableGrid"/>
        <w:tblW w:w="9810" w:type="dxa"/>
        <w:tblInd w:w="-455" w:type="dxa"/>
        <w:tblLook w:val="04A0" w:firstRow="1" w:lastRow="0" w:firstColumn="1" w:lastColumn="0" w:noHBand="0" w:noVBand="1"/>
      </w:tblPr>
      <w:tblGrid>
        <w:gridCol w:w="5670"/>
        <w:gridCol w:w="4140"/>
      </w:tblGrid>
      <w:tr w:rsidR="005C769A" w14:paraId="2DFDCB35" w14:textId="77777777" w:rsidTr="00BE4F8D">
        <w:tc>
          <w:tcPr>
            <w:tcW w:w="5670" w:type="dxa"/>
          </w:tcPr>
          <w:p w14:paraId="6296800E" w14:textId="77777777" w:rsidR="005C769A" w:rsidRPr="005C4ACA" w:rsidRDefault="00000000">
            <w:pPr>
              <w:rPr>
                <w:b/>
                <w:bCs/>
              </w:rPr>
            </w:pPr>
            <w:r w:rsidRPr="005C4ACA">
              <w:rPr>
                <w:b/>
                <w:bCs/>
              </w:rPr>
              <w:t>Criteria</w:t>
            </w:r>
          </w:p>
        </w:tc>
        <w:tc>
          <w:tcPr>
            <w:tcW w:w="4140" w:type="dxa"/>
          </w:tcPr>
          <w:p w14:paraId="42BB7ED7" w14:textId="77777777" w:rsidR="005C769A" w:rsidRPr="005C4ACA" w:rsidRDefault="00000000">
            <w:pPr>
              <w:rPr>
                <w:b/>
                <w:bCs/>
              </w:rPr>
            </w:pPr>
            <w:r w:rsidRPr="005C4ACA">
              <w:rPr>
                <w:b/>
                <w:bCs/>
              </w:rPr>
              <w:t>Marks</w:t>
            </w:r>
          </w:p>
        </w:tc>
      </w:tr>
      <w:tr w:rsidR="005C769A" w14:paraId="30A040EF" w14:textId="77777777" w:rsidTr="00BE4F8D">
        <w:tc>
          <w:tcPr>
            <w:tcW w:w="5670" w:type="dxa"/>
          </w:tcPr>
          <w:p w14:paraId="7C698691" w14:textId="518D3FD2" w:rsidR="005C769A" w:rsidRDefault="00000000">
            <w:r>
              <w:t>Three signed</w:t>
            </w:r>
            <w:r w:rsidR="00BC646B">
              <w:t xml:space="preserve"> and </w:t>
            </w:r>
            <w:r w:rsidR="00CF517A">
              <w:t>stamped contracts</w:t>
            </w:r>
            <w:r>
              <w:t xml:space="preserve">, POs or service </w:t>
            </w:r>
            <w:r w:rsidR="00883E96">
              <w:t>agreements (</w:t>
            </w:r>
            <w:r>
              <w:t>2024–2026) from different organizations.</w:t>
            </w:r>
            <w:r w:rsidR="00BC646B">
              <w:t xml:space="preserve"> </w:t>
            </w:r>
            <w:r w:rsidR="00CF517A" w:rsidRPr="00BC646B">
              <w:t>(same</w:t>
            </w:r>
            <w:r w:rsidR="00BC646B" w:rsidRPr="00BC646B">
              <w:t xml:space="preserve"> organization</w:t>
            </w:r>
            <w:r w:rsidR="00BC646B">
              <w:t xml:space="preserve"> contracts</w:t>
            </w:r>
            <w:r w:rsidR="00BC646B" w:rsidRPr="00BC646B">
              <w:t xml:space="preserve"> will be counted as 1 experience and will not be scored</w:t>
            </w:r>
            <w:r w:rsidR="00BC646B">
              <w:t>)</w:t>
            </w:r>
            <w:r w:rsidR="00883E96">
              <w:t xml:space="preserve"> each contract </w:t>
            </w:r>
            <w:r w:rsidR="00C20294">
              <w:t>20</w:t>
            </w:r>
            <w:r w:rsidR="00883E96">
              <w:t xml:space="preserve"> marks</w:t>
            </w:r>
          </w:p>
        </w:tc>
        <w:tc>
          <w:tcPr>
            <w:tcW w:w="4140" w:type="dxa"/>
          </w:tcPr>
          <w:p w14:paraId="775C7277" w14:textId="5B862687" w:rsidR="005C769A" w:rsidRDefault="00C20294">
            <w:r>
              <w:t>60</w:t>
            </w:r>
          </w:p>
        </w:tc>
      </w:tr>
      <w:tr w:rsidR="00D20000" w14:paraId="1C272C80" w14:textId="77777777" w:rsidTr="00BE4F8D">
        <w:tc>
          <w:tcPr>
            <w:tcW w:w="5670" w:type="dxa"/>
          </w:tcPr>
          <w:p w14:paraId="51126935" w14:textId="2445D4A8" w:rsidR="00D20000" w:rsidRDefault="00D20000">
            <w:r>
              <w:t>Company profile demonstrating previous experience, operational area and sustainability and company program</w:t>
            </w:r>
          </w:p>
        </w:tc>
        <w:tc>
          <w:tcPr>
            <w:tcW w:w="4140" w:type="dxa"/>
          </w:tcPr>
          <w:p w14:paraId="4A5AE59A" w14:textId="62673AA1" w:rsidR="00D20000" w:rsidRDefault="00D20000">
            <w:r>
              <w:t>1</w:t>
            </w:r>
            <w:r w:rsidR="00C20294">
              <w:t>0</w:t>
            </w:r>
          </w:p>
        </w:tc>
      </w:tr>
      <w:tr w:rsidR="005C769A" w14:paraId="2796DEB7" w14:textId="77777777" w:rsidTr="00BE4F8D">
        <w:tc>
          <w:tcPr>
            <w:tcW w:w="5670" w:type="dxa"/>
          </w:tcPr>
          <w:p w14:paraId="0EE7D47D" w14:textId="1673B1C8" w:rsidR="005C769A" w:rsidRDefault="00000000">
            <w:r>
              <w:t>Financial capacity with verifiable</w:t>
            </w:r>
            <w:r w:rsidR="0043772B">
              <w:t xml:space="preserve"> bank</w:t>
            </w:r>
            <w:r>
              <w:t xml:space="preserve"> records</w:t>
            </w:r>
            <w:r w:rsidR="0043772B">
              <w:t xml:space="preserve"> and statements</w:t>
            </w:r>
            <w:r>
              <w:t xml:space="preserve"> (June 202</w:t>
            </w:r>
            <w:r w:rsidR="00123A4C">
              <w:t>5</w:t>
            </w:r>
            <w:r>
              <w:t>–June 2026)</w:t>
            </w:r>
            <w:r w:rsidR="0043772B">
              <w:t>.</w:t>
            </w:r>
          </w:p>
        </w:tc>
        <w:tc>
          <w:tcPr>
            <w:tcW w:w="4140" w:type="dxa"/>
          </w:tcPr>
          <w:p w14:paraId="6ECF73B5" w14:textId="77777777" w:rsidR="005C769A" w:rsidRDefault="00000000">
            <w:r>
              <w:t>20</w:t>
            </w:r>
          </w:p>
        </w:tc>
      </w:tr>
      <w:tr w:rsidR="005C769A" w14:paraId="5BFA19F8" w14:textId="77777777" w:rsidTr="00BE4F8D">
        <w:tc>
          <w:tcPr>
            <w:tcW w:w="5670" w:type="dxa"/>
          </w:tcPr>
          <w:p w14:paraId="61EAE4FA" w14:textId="7C9BDC42" w:rsidR="005C769A" w:rsidRDefault="00000000">
            <w:r>
              <w:t xml:space="preserve">Delivery </w:t>
            </w:r>
            <w:r w:rsidR="00CF517A">
              <w:t>leads</w:t>
            </w:r>
            <w:r>
              <w:t xml:space="preserve"> time and responsiveness.</w:t>
            </w:r>
          </w:p>
        </w:tc>
        <w:tc>
          <w:tcPr>
            <w:tcW w:w="4140" w:type="dxa"/>
          </w:tcPr>
          <w:p w14:paraId="0B5F2423" w14:textId="77777777" w:rsidR="005C769A" w:rsidRDefault="00000000">
            <w:r>
              <w:t>10</w:t>
            </w:r>
          </w:p>
        </w:tc>
      </w:tr>
    </w:tbl>
    <w:p w14:paraId="49A94EC0" w14:textId="2178C8C6" w:rsidR="00BC646B" w:rsidRDefault="00BC646B">
      <w:pPr>
        <w:pStyle w:val="Heading2"/>
      </w:pPr>
      <w:r>
        <w:t>4.1 Technical Evaluation Criteria (</w:t>
      </w:r>
      <w:r w:rsidR="00C20294">
        <w:t>10</w:t>
      </w:r>
      <w:r>
        <w:t>0 Marks) for Air Ticket</w:t>
      </w:r>
    </w:p>
    <w:tbl>
      <w:tblPr>
        <w:tblStyle w:val="TableGrid"/>
        <w:tblW w:w="9810" w:type="dxa"/>
        <w:tblInd w:w="-455" w:type="dxa"/>
        <w:tblLook w:val="04A0" w:firstRow="1" w:lastRow="0" w:firstColumn="1" w:lastColumn="0" w:noHBand="0" w:noVBand="1"/>
      </w:tblPr>
      <w:tblGrid>
        <w:gridCol w:w="5670"/>
        <w:gridCol w:w="4140"/>
      </w:tblGrid>
      <w:tr w:rsidR="00BC646B" w14:paraId="38575D9F" w14:textId="77777777" w:rsidTr="00BE4F8D">
        <w:tc>
          <w:tcPr>
            <w:tcW w:w="5670" w:type="dxa"/>
          </w:tcPr>
          <w:p w14:paraId="6C8E7BA4" w14:textId="77777777" w:rsidR="00BC646B" w:rsidRDefault="00BC646B" w:rsidP="00A910FA">
            <w:r>
              <w:t>Criteria</w:t>
            </w:r>
          </w:p>
        </w:tc>
        <w:tc>
          <w:tcPr>
            <w:tcW w:w="4140" w:type="dxa"/>
          </w:tcPr>
          <w:p w14:paraId="312A2197" w14:textId="77777777" w:rsidR="00BC646B" w:rsidRDefault="00BC646B" w:rsidP="00A910FA">
            <w:r>
              <w:t>Marks</w:t>
            </w:r>
          </w:p>
        </w:tc>
      </w:tr>
      <w:tr w:rsidR="00BC646B" w14:paraId="495E9B84" w14:textId="77777777" w:rsidTr="00BE4F8D">
        <w:tc>
          <w:tcPr>
            <w:tcW w:w="5670" w:type="dxa"/>
          </w:tcPr>
          <w:p w14:paraId="0AAF6658" w14:textId="5B8BC9F0" w:rsidR="00BC646B" w:rsidRDefault="00BC646B" w:rsidP="00A910FA">
            <w:r>
              <w:t xml:space="preserve">5 </w:t>
            </w:r>
            <w:r w:rsidR="00CF517A">
              <w:t>signed and</w:t>
            </w:r>
            <w:r>
              <w:t xml:space="preserve"> stamped contracts/ POs </w:t>
            </w:r>
            <w:r w:rsidR="00CF517A">
              <w:t>from (</w:t>
            </w:r>
            <w:r>
              <w:t>202</w:t>
            </w:r>
            <w:r w:rsidR="00B02D5E">
              <w:t>3</w:t>
            </w:r>
            <w:r>
              <w:t xml:space="preserve">–2026) from different organizations. </w:t>
            </w:r>
            <w:r w:rsidR="00CF517A" w:rsidRPr="00BC646B">
              <w:t>(same</w:t>
            </w:r>
            <w:r w:rsidRPr="00BC646B">
              <w:t xml:space="preserve"> organization</w:t>
            </w:r>
            <w:r>
              <w:t xml:space="preserve"> contracts</w:t>
            </w:r>
            <w:r w:rsidRPr="00BC646B">
              <w:t xml:space="preserve"> will be counted as 1 experience and will not be scored</w:t>
            </w:r>
            <w:r>
              <w:t>)</w:t>
            </w:r>
            <w:r w:rsidR="001A4247">
              <w:t xml:space="preserve"> each contract is </w:t>
            </w:r>
            <w:r w:rsidR="00D20000">
              <w:t>10</w:t>
            </w:r>
            <w:r w:rsidR="001A4247">
              <w:t xml:space="preserve"> market</w:t>
            </w:r>
          </w:p>
        </w:tc>
        <w:tc>
          <w:tcPr>
            <w:tcW w:w="4140" w:type="dxa"/>
          </w:tcPr>
          <w:p w14:paraId="05F5FFAF" w14:textId="25C72117" w:rsidR="00BC646B" w:rsidRDefault="00D20000" w:rsidP="00A910FA">
            <w:r>
              <w:t>5</w:t>
            </w:r>
            <w:r w:rsidR="000D2F44">
              <w:t>0</w:t>
            </w:r>
          </w:p>
        </w:tc>
      </w:tr>
      <w:tr w:rsidR="00BC646B" w14:paraId="74E322E0" w14:textId="77777777" w:rsidTr="00BE4F8D">
        <w:tc>
          <w:tcPr>
            <w:tcW w:w="5670" w:type="dxa"/>
          </w:tcPr>
          <w:p w14:paraId="4D80E09B" w14:textId="23BA743F" w:rsidR="00BC646B" w:rsidRDefault="00BC646B" w:rsidP="00A910FA">
            <w:r>
              <w:t>Financial capacity</w:t>
            </w:r>
            <w:r w:rsidR="000D2F44">
              <w:t xml:space="preserve">: </w:t>
            </w:r>
            <w:r w:rsidR="000D2F44" w:rsidRPr="000D2F44">
              <w:t xml:space="preserve">Travel agencies must </w:t>
            </w:r>
            <w:r w:rsidR="00CF517A">
              <w:t xml:space="preserve">share </w:t>
            </w:r>
            <w:r w:rsidR="00CF517A" w:rsidRPr="000D2F44">
              <w:t>IATA</w:t>
            </w:r>
            <w:r w:rsidR="000D2F44" w:rsidRPr="000D2F44">
              <w:t xml:space="preserve">-accredited (Go Standard or Go Global) with proof of accreditation. A </w:t>
            </w:r>
            <w:r w:rsidR="0043772B">
              <w:t xml:space="preserve">bid bond with </w:t>
            </w:r>
            <w:r w:rsidR="000D2F44" w:rsidRPr="000D2F44">
              <w:t xml:space="preserve">minimum cash deposit/bank guarantee of USD </w:t>
            </w:r>
            <w:r w:rsidR="000D2F44">
              <w:t>2</w:t>
            </w:r>
            <w:r w:rsidR="000D2F44" w:rsidRPr="000D2F44">
              <w:t>00,000 is required to demonstrate financial capacity and ability to issue tickets.</w:t>
            </w:r>
            <w:r w:rsidR="000D2F44">
              <w:t xml:space="preserve">  Please attach bank guarantee as evidence</w:t>
            </w:r>
          </w:p>
        </w:tc>
        <w:tc>
          <w:tcPr>
            <w:tcW w:w="4140" w:type="dxa"/>
          </w:tcPr>
          <w:p w14:paraId="6435895A" w14:textId="55CA94D5" w:rsidR="00BC646B" w:rsidRDefault="00C20294" w:rsidP="00A910FA">
            <w:r>
              <w:t>3</w:t>
            </w:r>
            <w:r w:rsidR="00BC646B">
              <w:t>0</w:t>
            </w:r>
          </w:p>
        </w:tc>
      </w:tr>
      <w:tr w:rsidR="00D20000" w14:paraId="33270A25" w14:textId="77777777" w:rsidTr="00BE4F8D">
        <w:tc>
          <w:tcPr>
            <w:tcW w:w="5670" w:type="dxa"/>
          </w:tcPr>
          <w:p w14:paraId="607A3B0F" w14:textId="7BBD0A80" w:rsidR="00D20000" w:rsidRDefault="00D20000" w:rsidP="00A910FA">
            <w:r>
              <w:t>Company profile demonstrating previous experience, operational area and sustainability and company program</w:t>
            </w:r>
          </w:p>
        </w:tc>
        <w:tc>
          <w:tcPr>
            <w:tcW w:w="4140" w:type="dxa"/>
          </w:tcPr>
          <w:p w14:paraId="4C389E8B" w14:textId="46ADCA6B" w:rsidR="00D20000" w:rsidRDefault="00D20000" w:rsidP="00A910FA">
            <w:r>
              <w:t>10</w:t>
            </w:r>
          </w:p>
        </w:tc>
      </w:tr>
      <w:tr w:rsidR="00BC646B" w14:paraId="6D418125" w14:textId="77777777" w:rsidTr="00BE4F8D">
        <w:tc>
          <w:tcPr>
            <w:tcW w:w="5670" w:type="dxa"/>
          </w:tcPr>
          <w:p w14:paraId="48BDDBC4" w14:textId="405FAB61" w:rsidR="00BC646B" w:rsidRDefault="00BC646B" w:rsidP="00A910FA">
            <w:r>
              <w:t xml:space="preserve">Delivery </w:t>
            </w:r>
            <w:r w:rsidR="00CF517A">
              <w:t>leads</w:t>
            </w:r>
            <w:r>
              <w:t xml:space="preserve"> time and responsiveness.</w:t>
            </w:r>
          </w:p>
        </w:tc>
        <w:tc>
          <w:tcPr>
            <w:tcW w:w="4140" w:type="dxa"/>
          </w:tcPr>
          <w:p w14:paraId="36A4D9BA" w14:textId="77777777" w:rsidR="00BC646B" w:rsidRDefault="00BC646B" w:rsidP="00A910FA">
            <w:r>
              <w:t>10</w:t>
            </w:r>
          </w:p>
        </w:tc>
      </w:tr>
    </w:tbl>
    <w:p w14:paraId="3C9387AB" w14:textId="77777777" w:rsidR="00BE4F8D" w:rsidRDefault="00BE4F8D" w:rsidP="00CF517A">
      <w:pPr>
        <w:pStyle w:val="Heading2"/>
      </w:pPr>
    </w:p>
    <w:p w14:paraId="5F9C3A51" w14:textId="77777777" w:rsidR="00BE4F8D" w:rsidRPr="00BE4F8D" w:rsidRDefault="00BE4F8D" w:rsidP="00BE4F8D"/>
    <w:p w14:paraId="6DD6B315" w14:textId="1CA68D9D" w:rsidR="00CF517A" w:rsidRPr="00CF517A" w:rsidRDefault="000D2F44" w:rsidP="00CF517A">
      <w:pPr>
        <w:pStyle w:val="Heading2"/>
      </w:pPr>
      <w:r>
        <w:lastRenderedPageBreak/>
        <w:t xml:space="preserve">4.2 </w:t>
      </w:r>
      <w:r w:rsidR="00493AB8">
        <w:t>Technical Evaluation Criteria (</w:t>
      </w:r>
      <w:r w:rsidR="00C20294">
        <w:t>10</w:t>
      </w:r>
      <w:r w:rsidR="00493AB8">
        <w:t xml:space="preserve">0 Marks) for Cargo </w:t>
      </w:r>
      <w:r w:rsidR="004463A9">
        <w:t>services</w:t>
      </w:r>
    </w:p>
    <w:tbl>
      <w:tblPr>
        <w:tblStyle w:val="TableGrid"/>
        <w:tblW w:w="10170" w:type="dxa"/>
        <w:tblInd w:w="-635" w:type="dxa"/>
        <w:tblLook w:val="04A0" w:firstRow="1" w:lastRow="0" w:firstColumn="1" w:lastColumn="0" w:noHBand="0" w:noVBand="1"/>
      </w:tblPr>
      <w:tblGrid>
        <w:gridCol w:w="5310"/>
        <w:gridCol w:w="4860"/>
      </w:tblGrid>
      <w:tr w:rsidR="006A1E24" w14:paraId="02975C30" w14:textId="77777777" w:rsidTr="00BE4F8D">
        <w:tc>
          <w:tcPr>
            <w:tcW w:w="5310" w:type="dxa"/>
          </w:tcPr>
          <w:p w14:paraId="3B9AA23C" w14:textId="77777777" w:rsidR="006A1E24" w:rsidRPr="005C4ACA" w:rsidRDefault="006A1E24" w:rsidP="00A910FA">
            <w:pPr>
              <w:rPr>
                <w:b/>
                <w:bCs/>
              </w:rPr>
            </w:pPr>
            <w:r w:rsidRPr="005C4ACA">
              <w:rPr>
                <w:b/>
                <w:bCs/>
              </w:rPr>
              <w:t>Criteria</w:t>
            </w:r>
          </w:p>
        </w:tc>
        <w:tc>
          <w:tcPr>
            <w:tcW w:w="4860" w:type="dxa"/>
          </w:tcPr>
          <w:p w14:paraId="364EA832" w14:textId="77777777" w:rsidR="006A1E24" w:rsidRPr="005C4ACA" w:rsidRDefault="006A1E24" w:rsidP="00A910FA">
            <w:pPr>
              <w:rPr>
                <w:b/>
                <w:bCs/>
              </w:rPr>
            </w:pPr>
            <w:r w:rsidRPr="005C4ACA">
              <w:rPr>
                <w:b/>
                <w:bCs/>
              </w:rPr>
              <w:t>Marks</w:t>
            </w:r>
          </w:p>
        </w:tc>
      </w:tr>
      <w:tr w:rsidR="006A1E24" w14:paraId="2AC20046" w14:textId="77777777" w:rsidTr="00BE4F8D">
        <w:tc>
          <w:tcPr>
            <w:tcW w:w="5310" w:type="dxa"/>
          </w:tcPr>
          <w:p w14:paraId="03B83EA2" w14:textId="694AD521" w:rsidR="006A1E24" w:rsidRDefault="006A1E24" w:rsidP="00A910FA">
            <w:r>
              <w:t xml:space="preserve"> </w:t>
            </w:r>
            <w:r w:rsidR="00270E5A">
              <w:t xml:space="preserve">2 </w:t>
            </w:r>
            <w:r w:rsidR="00CF517A">
              <w:t>signed and</w:t>
            </w:r>
            <w:r>
              <w:t xml:space="preserve"> stamped contracts/ POs </w:t>
            </w:r>
            <w:r w:rsidR="00CF517A">
              <w:t>from (</w:t>
            </w:r>
            <w:r>
              <w:t xml:space="preserve">2023–2026) from different organizations. </w:t>
            </w:r>
            <w:r w:rsidR="00CF517A" w:rsidRPr="00BC646B">
              <w:t>(same</w:t>
            </w:r>
            <w:r w:rsidRPr="00BC646B">
              <w:t xml:space="preserve"> organization</w:t>
            </w:r>
            <w:r>
              <w:t xml:space="preserve"> contracts</w:t>
            </w:r>
            <w:r w:rsidRPr="00BC646B">
              <w:t xml:space="preserve"> will be counted as 1 experience and will not be scored</w:t>
            </w:r>
            <w:r>
              <w:t>)</w:t>
            </w:r>
            <w:r w:rsidR="00D20000">
              <w:t xml:space="preserve"> each contract is 25 marks</w:t>
            </w:r>
          </w:p>
        </w:tc>
        <w:tc>
          <w:tcPr>
            <w:tcW w:w="4860" w:type="dxa"/>
          </w:tcPr>
          <w:p w14:paraId="4E47923D" w14:textId="7650A1DE" w:rsidR="006A1E24" w:rsidRDefault="00C20294" w:rsidP="00A910FA">
            <w:r>
              <w:t>5</w:t>
            </w:r>
            <w:r w:rsidR="00270E5A">
              <w:t>0</w:t>
            </w:r>
          </w:p>
        </w:tc>
      </w:tr>
      <w:tr w:rsidR="00D20000" w14:paraId="316AFC84" w14:textId="77777777" w:rsidTr="00BE4F8D">
        <w:tc>
          <w:tcPr>
            <w:tcW w:w="5310" w:type="dxa"/>
          </w:tcPr>
          <w:p w14:paraId="349F3CA6" w14:textId="70662EB0" w:rsidR="00D20000" w:rsidRDefault="00D20000" w:rsidP="00A910FA">
            <w:r>
              <w:t>Company profile demonstrating previous experience, operational area and sustainability and company program</w:t>
            </w:r>
          </w:p>
        </w:tc>
        <w:tc>
          <w:tcPr>
            <w:tcW w:w="4860" w:type="dxa"/>
          </w:tcPr>
          <w:p w14:paraId="5BE66985" w14:textId="45447977" w:rsidR="00D20000" w:rsidRDefault="00D20000" w:rsidP="00A910FA">
            <w:r>
              <w:t>10</w:t>
            </w:r>
          </w:p>
        </w:tc>
      </w:tr>
      <w:tr w:rsidR="006A1E24" w14:paraId="0CBF2D22" w14:textId="77777777" w:rsidTr="00BE4F8D">
        <w:tc>
          <w:tcPr>
            <w:tcW w:w="5310" w:type="dxa"/>
          </w:tcPr>
          <w:p w14:paraId="694A507B" w14:textId="3413878B" w:rsidR="006A1E24" w:rsidRDefault="00270E5A" w:rsidP="00A910FA">
            <w:r>
              <w:t xml:space="preserve">Financial capacity </w:t>
            </w:r>
            <w:r w:rsidR="00012C09">
              <w:t xml:space="preserve">of </w:t>
            </w:r>
            <w:r w:rsidR="0043772B">
              <w:t>$</w:t>
            </w:r>
            <w:r w:rsidR="00012C09">
              <w:t>500,000</w:t>
            </w:r>
            <w:r w:rsidR="0043772B">
              <w:t xml:space="preserve"> and above</w:t>
            </w:r>
            <w:r w:rsidR="00EF4C7A">
              <w:t xml:space="preserve"> </w:t>
            </w:r>
            <w:r w:rsidR="0043772B">
              <w:t xml:space="preserve">with </w:t>
            </w:r>
            <w:r w:rsidR="007E2B77">
              <w:t>transaction</w:t>
            </w:r>
            <w:r w:rsidR="00CF517A">
              <w:t xml:space="preserve"> from</w:t>
            </w:r>
            <w:r w:rsidR="00012C09">
              <w:t xml:space="preserve"> </w:t>
            </w:r>
            <w:r w:rsidR="002435D2">
              <w:t>April,2025 to April,2026, please attach genuine bank statement with stamp.</w:t>
            </w:r>
          </w:p>
          <w:p w14:paraId="7A7848A0" w14:textId="743BE328" w:rsidR="002435D2" w:rsidRDefault="002435D2" w:rsidP="002435D2">
            <w:pPr>
              <w:pStyle w:val="ListParagraph"/>
              <w:numPr>
                <w:ilvl w:val="0"/>
                <w:numId w:val="10"/>
              </w:numPr>
            </w:pPr>
            <w:r>
              <w:t xml:space="preserve">Below </w:t>
            </w:r>
            <w:r w:rsidR="001F224B">
              <w:t>100</w:t>
            </w:r>
            <w:r>
              <w:t>,000- zero Marks</w:t>
            </w:r>
          </w:p>
          <w:p w14:paraId="476A586C" w14:textId="400112E6" w:rsidR="002435D2" w:rsidRDefault="001F224B" w:rsidP="002435D2">
            <w:pPr>
              <w:pStyle w:val="ListParagraph"/>
              <w:numPr>
                <w:ilvl w:val="0"/>
                <w:numId w:val="10"/>
              </w:numPr>
            </w:pPr>
            <w:r>
              <w:t>300</w:t>
            </w:r>
            <w:r w:rsidR="002435D2">
              <w:t xml:space="preserve">,000- </w:t>
            </w:r>
            <w:r>
              <w:t>4</w:t>
            </w:r>
            <w:r w:rsidR="002435D2">
              <w:t>00,000- 10 Marks</w:t>
            </w:r>
          </w:p>
          <w:p w14:paraId="6A23D6CC" w14:textId="7546DA1F" w:rsidR="002435D2" w:rsidRDefault="001F224B" w:rsidP="002435D2">
            <w:pPr>
              <w:pStyle w:val="ListParagraph"/>
              <w:numPr>
                <w:ilvl w:val="0"/>
                <w:numId w:val="10"/>
              </w:numPr>
            </w:pPr>
            <w:r>
              <w:t>4</w:t>
            </w:r>
            <w:r w:rsidR="002435D2">
              <w:t>00,000-</w:t>
            </w:r>
            <w:r>
              <w:t>5</w:t>
            </w:r>
            <w:r w:rsidR="002435D2">
              <w:t>00,000 20 Marks</w:t>
            </w:r>
          </w:p>
          <w:p w14:paraId="2942360B" w14:textId="16C9F6E0" w:rsidR="002435D2" w:rsidRDefault="001F224B" w:rsidP="002435D2">
            <w:pPr>
              <w:pStyle w:val="ListParagraph"/>
              <w:numPr>
                <w:ilvl w:val="0"/>
                <w:numId w:val="10"/>
              </w:numPr>
            </w:pPr>
            <w:r>
              <w:t>5</w:t>
            </w:r>
            <w:r w:rsidR="002435D2">
              <w:t>00,000 and above 30 Marks</w:t>
            </w:r>
          </w:p>
          <w:p w14:paraId="6F914AFA" w14:textId="569B0470" w:rsidR="002435D2" w:rsidRDefault="002435D2" w:rsidP="00A910FA"/>
        </w:tc>
        <w:tc>
          <w:tcPr>
            <w:tcW w:w="4860" w:type="dxa"/>
          </w:tcPr>
          <w:p w14:paraId="33F658F3" w14:textId="44FA9252" w:rsidR="006A1E24" w:rsidRDefault="00270E5A" w:rsidP="00A910FA">
            <w:r>
              <w:t>3</w:t>
            </w:r>
            <w:r w:rsidR="006A1E24">
              <w:t>0</w:t>
            </w:r>
          </w:p>
        </w:tc>
      </w:tr>
      <w:tr w:rsidR="006A1E24" w14:paraId="5DFC2FA2" w14:textId="77777777" w:rsidTr="00BE4F8D">
        <w:tc>
          <w:tcPr>
            <w:tcW w:w="5310" w:type="dxa"/>
          </w:tcPr>
          <w:p w14:paraId="1D333670" w14:textId="16A056A6" w:rsidR="006A1E24" w:rsidRDefault="006A1E24" w:rsidP="00A910FA">
            <w:r>
              <w:t xml:space="preserve">Delivery </w:t>
            </w:r>
            <w:r w:rsidR="00CF517A">
              <w:t>leads</w:t>
            </w:r>
            <w:r>
              <w:t xml:space="preserve"> time and responsiveness.</w:t>
            </w:r>
          </w:p>
        </w:tc>
        <w:tc>
          <w:tcPr>
            <w:tcW w:w="4860" w:type="dxa"/>
          </w:tcPr>
          <w:p w14:paraId="50BC2C4C" w14:textId="77777777" w:rsidR="006A1E24" w:rsidRDefault="006A1E24" w:rsidP="00A910FA">
            <w:r>
              <w:t>10</w:t>
            </w:r>
          </w:p>
        </w:tc>
      </w:tr>
    </w:tbl>
    <w:p w14:paraId="43FB5816" w14:textId="5BAC819F" w:rsidR="005C769A" w:rsidRDefault="00CF517A">
      <w:pPr>
        <w:pStyle w:val="Heading2"/>
      </w:pPr>
      <w:r>
        <w:t>4.3 Bid Submission Instructions</w:t>
      </w:r>
    </w:p>
    <w:p w14:paraId="1C6F2D1E" w14:textId="77777777" w:rsidR="005C769A" w:rsidRDefault="00000000">
      <w:r>
        <w:t>Bids may be submitted physically in sealed envelopes or electronically through the designated procurement email addresses. The tender reference number and location must be clearly indicated.</w:t>
      </w:r>
    </w:p>
    <w:p w14:paraId="7022ABAA" w14:textId="098F9DF1" w:rsidR="005C769A" w:rsidRDefault="00CF517A">
      <w:pPr>
        <w:pStyle w:val="Heading2"/>
      </w:pPr>
      <w:r>
        <w:t>4.4. Procurement Email Addresses</w:t>
      </w:r>
    </w:p>
    <w:tbl>
      <w:tblPr>
        <w:tblStyle w:val="TableGrid"/>
        <w:tblW w:w="10170" w:type="dxa"/>
        <w:tblInd w:w="-545" w:type="dxa"/>
        <w:tblLook w:val="04A0" w:firstRow="1" w:lastRow="0" w:firstColumn="1" w:lastColumn="0" w:noHBand="0" w:noVBand="1"/>
      </w:tblPr>
      <w:tblGrid>
        <w:gridCol w:w="2808"/>
        <w:gridCol w:w="7362"/>
      </w:tblGrid>
      <w:tr w:rsidR="005C769A" w14:paraId="715ADBCF" w14:textId="77777777" w:rsidTr="00BE4F8D">
        <w:tc>
          <w:tcPr>
            <w:tcW w:w="2808" w:type="dxa"/>
          </w:tcPr>
          <w:p w14:paraId="7D209BCE" w14:textId="77777777" w:rsidR="005C769A" w:rsidRDefault="00000000">
            <w:r>
              <w:t>Location</w:t>
            </w:r>
          </w:p>
        </w:tc>
        <w:tc>
          <w:tcPr>
            <w:tcW w:w="7362" w:type="dxa"/>
          </w:tcPr>
          <w:p w14:paraId="67062233" w14:textId="77777777" w:rsidR="005C769A" w:rsidRDefault="00000000">
            <w:r>
              <w:t>Email</w:t>
            </w:r>
          </w:p>
        </w:tc>
      </w:tr>
      <w:tr w:rsidR="005C769A" w14:paraId="5B2D4EC3" w14:textId="77777777" w:rsidTr="00BE4F8D">
        <w:tc>
          <w:tcPr>
            <w:tcW w:w="2808" w:type="dxa"/>
          </w:tcPr>
          <w:p w14:paraId="45AF99DF" w14:textId="77777777" w:rsidR="005C769A" w:rsidRDefault="00000000">
            <w:r>
              <w:t>Wajid</w:t>
            </w:r>
          </w:p>
        </w:tc>
        <w:tc>
          <w:tcPr>
            <w:tcW w:w="7362" w:type="dxa"/>
          </w:tcPr>
          <w:p w14:paraId="7CAEDBA5" w14:textId="36131C42" w:rsidR="005C769A" w:rsidRDefault="00CF517A">
            <w:hyperlink r:id="rId8" w:history="1">
              <w:r w:rsidRPr="00B026FF">
                <w:rPr>
                  <w:rStyle w:val="Hyperlink"/>
                </w:rPr>
                <w:t>procurement-wa@so-actionagainsthunger.org</w:t>
              </w:r>
            </w:hyperlink>
            <w:r>
              <w:t xml:space="preserve"> </w:t>
            </w:r>
          </w:p>
        </w:tc>
      </w:tr>
      <w:tr w:rsidR="005C769A" w14:paraId="589BE476" w14:textId="77777777" w:rsidTr="00BE4F8D">
        <w:tc>
          <w:tcPr>
            <w:tcW w:w="2808" w:type="dxa"/>
          </w:tcPr>
          <w:p w14:paraId="74337890" w14:textId="77777777" w:rsidR="005C769A" w:rsidRDefault="00000000">
            <w:r>
              <w:t>Hudur</w:t>
            </w:r>
          </w:p>
        </w:tc>
        <w:tc>
          <w:tcPr>
            <w:tcW w:w="7362" w:type="dxa"/>
          </w:tcPr>
          <w:p w14:paraId="75A51176" w14:textId="133B0E81" w:rsidR="005C769A" w:rsidRDefault="00CF517A">
            <w:hyperlink r:id="rId9" w:history="1">
              <w:r w:rsidRPr="00B026FF">
                <w:rPr>
                  <w:rStyle w:val="Hyperlink"/>
                </w:rPr>
                <w:t>procurement-hu@so-actionagainsthunger.org</w:t>
              </w:r>
            </w:hyperlink>
            <w:r>
              <w:t xml:space="preserve"> </w:t>
            </w:r>
          </w:p>
        </w:tc>
      </w:tr>
      <w:tr w:rsidR="005C769A" w14:paraId="6FA618B3" w14:textId="77777777" w:rsidTr="00BE4F8D">
        <w:tc>
          <w:tcPr>
            <w:tcW w:w="2808" w:type="dxa"/>
          </w:tcPr>
          <w:p w14:paraId="6F9861CC" w14:textId="77777777" w:rsidR="005C769A" w:rsidRDefault="00000000">
            <w:r>
              <w:t>Elbarde</w:t>
            </w:r>
          </w:p>
        </w:tc>
        <w:tc>
          <w:tcPr>
            <w:tcW w:w="7362" w:type="dxa"/>
          </w:tcPr>
          <w:p w14:paraId="43ECD4A2" w14:textId="69E5F5D8" w:rsidR="005C769A" w:rsidRDefault="00CF517A">
            <w:hyperlink r:id="rId10" w:history="1">
              <w:r w:rsidRPr="00B026FF">
                <w:rPr>
                  <w:rStyle w:val="Hyperlink"/>
                </w:rPr>
                <w:t>procurement-el@so-actionagainsthunger.org</w:t>
              </w:r>
            </w:hyperlink>
            <w:r>
              <w:t xml:space="preserve"> </w:t>
            </w:r>
          </w:p>
        </w:tc>
      </w:tr>
      <w:tr w:rsidR="005C769A" w14:paraId="4B4CDA5B" w14:textId="77777777" w:rsidTr="00BE4F8D">
        <w:tc>
          <w:tcPr>
            <w:tcW w:w="2808" w:type="dxa"/>
          </w:tcPr>
          <w:p w14:paraId="520E80AA" w14:textId="77777777" w:rsidR="005C769A" w:rsidRDefault="00000000">
            <w:r>
              <w:t>Garowe/Eyl</w:t>
            </w:r>
          </w:p>
        </w:tc>
        <w:tc>
          <w:tcPr>
            <w:tcW w:w="7362" w:type="dxa"/>
          </w:tcPr>
          <w:p w14:paraId="116ADA7E" w14:textId="51E22060" w:rsidR="005C769A" w:rsidRDefault="00CF517A">
            <w:hyperlink r:id="rId11" w:history="1">
              <w:r w:rsidRPr="00B026FF">
                <w:rPr>
                  <w:rStyle w:val="Hyperlink"/>
                </w:rPr>
                <w:t>procurement-pl@so-actionagainsthunger.org</w:t>
              </w:r>
            </w:hyperlink>
            <w:r>
              <w:t xml:space="preserve"> </w:t>
            </w:r>
          </w:p>
        </w:tc>
      </w:tr>
      <w:tr w:rsidR="005C769A" w14:paraId="4D1B038E" w14:textId="77777777" w:rsidTr="00BE4F8D">
        <w:tc>
          <w:tcPr>
            <w:tcW w:w="2808" w:type="dxa"/>
          </w:tcPr>
          <w:p w14:paraId="5E61B2F1" w14:textId="77777777" w:rsidR="005C769A" w:rsidRDefault="00000000">
            <w:r>
              <w:t>Baidoa</w:t>
            </w:r>
          </w:p>
        </w:tc>
        <w:tc>
          <w:tcPr>
            <w:tcW w:w="7362" w:type="dxa"/>
          </w:tcPr>
          <w:p w14:paraId="651AB83E" w14:textId="4D72DA20" w:rsidR="005C769A" w:rsidRDefault="00CF517A">
            <w:hyperlink r:id="rId12" w:history="1">
              <w:r w:rsidRPr="00B026FF">
                <w:rPr>
                  <w:rStyle w:val="Hyperlink"/>
                </w:rPr>
                <w:t>procurement-ba@so-actionagainsthunger.org</w:t>
              </w:r>
            </w:hyperlink>
            <w:r>
              <w:t xml:space="preserve"> </w:t>
            </w:r>
          </w:p>
        </w:tc>
      </w:tr>
      <w:tr w:rsidR="005C769A" w14:paraId="0621E4E3" w14:textId="77777777" w:rsidTr="00BE4F8D">
        <w:tc>
          <w:tcPr>
            <w:tcW w:w="2808" w:type="dxa"/>
          </w:tcPr>
          <w:p w14:paraId="2064410B" w14:textId="77777777" w:rsidR="005C769A" w:rsidRDefault="00000000">
            <w:r>
              <w:t>Mogadishu</w:t>
            </w:r>
          </w:p>
        </w:tc>
        <w:tc>
          <w:tcPr>
            <w:tcW w:w="7362" w:type="dxa"/>
          </w:tcPr>
          <w:p w14:paraId="41201066" w14:textId="729CF6E3" w:rsidR="005C769A" w:rsidRDefault="00CF517A">
            <w:hyperlink r:id="rId13" w:history="1">
              <w:r w:rsidRPr="00B026FF">
                <w:rPr>
                  <w:rStyle w:val="Hyperlink"/>
                </w:rPr>
                <w:t>procurement-mo@so-actionagainsthunger.org</w:t>
              </w:r>
            </w:hyperlink>
            <w:r>
              <w:t xml:space="preserve"> </w:t>
            </w:r>
          </w:p>
        </w:tc>
      </w:tr>
      <w:tr w:rsidR="005C769A" w14:paraId="009A4C29" w14:textId="77777777" w:rsidTr="00BE4F8D">
        <w:tc>
          <w:tcPr>
            <w:tcW w:w="2808" w:type="dxa"/>
          </w:tcPr>
          <w:p w14:paraId="5D56850C" w14:textId="77777777" w:rsidR="005C769A" w:rsidRDefault="00000000">
            <w:r>
              <w:t>Kismayo</w:t>
            </w:r>
          </w:p>
        </w:tc>
        <w:tc>
          <w:tcPr>
            <w:tcW w:w="7362" w:type="dxa"/>
          </w:tcPr>
          <w:p w14:paraId="5B3AFA1F" w14:textId="1E98B127" w:rsidR="005C769A" w:rsidRDefault="00CF517A">
            <w:hyperlink r:id="rId14" w:history="1">
              <w:r w:rsidRPr="00B026FF">
                <w:rPr>
                  <w:rStyle w:val="Hyperlink"/>
                </w:rPr>
                <w:t>procurement-ki@so-actionagainsthunger.org</w:t>
              </w:r>
            </w:hyperlink>
            <w:r>
              <w:t xml:space="preserve"> </w:t>
            </w:r>
          </w:p>
        </w:tc>
      </w:tr>
    </w:tbl>
    <w:p w14:paraId="3A686CA7" w14:textId="1087EC86" w:rsidR="005C769A" w:rsidRDefault="00CF517A">
      <w:pPr>
        <w:pStyle w:val="Heading2"/>
      </w:pPr>
      <w:r>
        <w:t>4.5. Key Dates</w:t>
      </w:r>
    </w:p>
    <w:p w14:paraId="531D1F81" w14:textId="60A624D5" w:rsidR="005C769A" w:rsidRDefault="00000000">
      <w:r>
        <w:t>Bid Submission Deadline: 30</w:t>
      </w:r>
      <w:r w:rsidR="00704B7D">
        <w:rPr>
          <w:vertAlign w:val="superscript"/>
        </w:rPr>
        <w:t xml:space="preserve">th </w:t>
      </w:r>
      <w:r w:rsidR="00704B7D">
        <w:t xml:space="preserve"> </w:t>
      </w:r>
      <w:r>
        <w:t xml:space="preserve"> June 2026 at 4:30 PM (EAT)</w:t>
      </w:r>
    </w:p>
    <w:p w14:paraId="1F4E7F31" w14:textId="13C44DFE" w:rsidR="005C769A" w:rsidRDefault="00000000">
      <w:r>
        <w:t>Bid Opening: 12</w:t>
      </w:r>
      <w:r w:rsidR="00704B7D">
        <w:rPr>
          <w:vertAlign w:val="superscript"/>
        </w:rPr>
        <w:t>th</w:t>
      </w:r>
      <w:r w:rsidR="00704B7D">
        <w:t xml:space="preserve"> July</w:t>
      </w:r>
      <w:r>
        <w:t xml:space="preserve"> 2026 at 10:00 AM (EAT)</w:t>
      </w:r>
    </w:p>
    <w:p w14:paraId="217240C9" w14:textId="72A75AD3" w:rsidR="005C769A" w:rsidRDefault="00CF517A">
      <w:pPr>
        <w:pStyle w:val="Heading2"/>
      </w:pPr>
      <w:r>
        <w:t>4.6. Ethical Procurement and Anti-Fraud</w:t>
      </w:r>
    </w:p>
    <w:p w14:paraId="372C2B86" w14:textId="77777777" w:rsidR="005C769A" w:rsidRDefault="00000000">
      <w:r>
        <w:t>Canvassing, bribery, collusion, fraud or attempts to influence the evaluation process will result in automatic disqualification.</w:t>
      </w:r>
    </w:p>
    <w:p w14:paraId="348E789D" w14:textId="7726A936" w:rsidR="005C769A" w:rsidRDefault="00CF517A">
      <w:pPr>
        <w:pStyle w:val="Heading2"/>
      </w:pPr>
      <w:r>
        <w:t xml:space="preserve">4.7. </w:t>
      </w:r>
      <w:r w:rsidRPr="00BE4F8D">
        <w:t>Reservation of Rights</w:t>
      </w:r>
    </w:p>
    <w:p w14:paraId="0AB8FE91" w14:textId="1D28BF07" w:rsidR="005C769A" w:rsidRDefault="00000000">
      <w:r>
        <w:t xml:space="preserve">Action Against Hunger reserves the right to accept or reject any bid </w:t>
      </w:r>
      <w:r w:rsidR="00CF517A">
        <w:t>as a whole</w:t>
      </w:r>
      <w:r>
        <w:t xml:space="preserve"> or in part without obligation to provide reasons.</w:t>
      </w:r>
    </w:p>
    <w:sectPr w:rsidR="005C769A" w:rsidSect="00034616">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343B2" w14:textId="77777777" w:rsidR="0058431B" w:rsidRDefault="0058431B" w:rsidP="006E1735">
      <w:pPr>
        <w:spacing w:after="0" w:line="240" w:lineRule="auto"/>
      </w:pPr>
      <w:r>
        <w:separator/>
      </w:r>
    </w:p>
  </w:endnote>
  <w:endnote w:type="continuationSeparator" w:id="0">
    <w:p w14:paraId="6DA443DA" w14:textId="77777777" w:rsidR="0058431B" w:rsidRDefault="0058431B" w:rsidP="006E1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114785"/>
      <w:docPartObj>
        <w:docPartGallery w:val="Page Numbers (Bottom of Page)"/>
        <w:docPartUnique/>
      </w:docPartObj>
    </w:sdtPr>
    <w:sdtContent>
      <w:sdt>
        <w:sdtPr>
          <w:id w:val="-1769616900"/>
          <w:docPartObj>
            <w:docPartGallery w:val="Page Numbers (Top of Page)"/>
            <w:docPartUnique/>
          </w:docPartObj>
        </w:sdtPr>
        <w:sdtContent>
          <w:p w14:paraId="14431C94" w14:textId="2C702F9C" w:rsidR="006E1735" w:rsidRDefault="006E1735">
            <w:pPr>
              <w:pStyle w:val="Footer"/>
              <w:jc w:val="right"/>
            </w:pPr>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p>
        </w:sdtContent>
      </w:sdt>
    </w:sdtContent>
  </w:sdt>
  <w:p w14:paraId="77C08284" w14:textId="77777777" w:rsidR="006E1735" w:rsidRDefault="006E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D7C7A" w14:textId="77777777" w:rsidR="0058431B" w:rsidRDefault="0058431B" w:rsidP="006E1735">
      <w:pPr>
        <w:spacing w:after="0" w:line="240" w:lineRule="auto"/>
      </w:pPr>
      <w:r>
        <w:separator/>
      </w:r>
    </w:p>
  </w:footnote>
  <w:footnote w:type="continuationSeparator" w:id="0">
    <w:p w14:paraId="477543CA" w14:textId="77777777" w:rsidR="0058431B" w:rsidRDefault="0058431B" w:rsidP="006E17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AE55DEB"/>
    <w:multiLevelType w:val="hybridMultilevel"/>
    <w:tmpl w:val="5F9A1A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1670767">
    <w:abstractNumId w:val="8"/>
  </w:num>
  <w:num w:numId="2" w16cid:durableId="1869830144">
    <w:abstractNumId w:val="6"/>
  </w:num>
  <w:num w:numId="3" w16cid:durableId="770583819">
    <w:abstractNumId w:val="5"/>
  </w:num>
  <w:num w:numId="4" w16cid:durableId="1808156519">
    <w:abstractNumId w:val="4"/>
  </w:num>
  <w:num w:numId="5" w16cid:durableId="530655070">
    <w:abstractNumId w:val="7"/>
  </w:num>
  <w:num w:numId="6" w16cid:durableId="213395832">
    <w:abstractNumId w:val="3"/>
  </w:num>
  <w:num w:numId="7" w16cid:durableId="201865134">
    <w:abstractNumId w:val="2"/>
  </w:num>
  <w:num w:numId="8" w16cid:durableId="297146600">
    <w:abstractNumId w:val="1"/>
  </w:num>
  <w:num w:numId="9" w16cid:durableId="772748511">
    <w:abstractNumId w:val="0"/>
  </w:num>
  <w:num w:numId="10" w16cid:durableId="20212729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C09"/>
    <w:rsid w:val="00034616"/>
    <w:rsid w:val="0006063C"/>
    <w:rsid w:val="000D2F44"/>
    <w:rsid w:val="00123A4C"/>
    <w:rsid w:val="0015074B"/>
    <w:rsid w:val="001A4247"/>
    <w:rsid w:val="001F224B"/>
    <w:rsid w:val="002435D2"/>
    <w:rsid w:val="00270E5A"/>
    <w:rsid w:val="00284F62"/>
    <w:rsid w:val="0029639D"/>
    <w:rsid w:val="00326F90"/>
    <w:rsid w:val="003B65CA"/>
    <w:rsid w:val="0043772B"/>
    <w:rsid w:val="004463A9"/>
    <w:rsid w:val="004601BE"/>
    <w:rsid w:val="00493AB8"/>
    <w:rsid w:val="0058431B"/>
    <w:rsid w:val="005C4ACA"/>
    <w:rsid w:val="005C769A"/>
    <w:rsid w:val="00607CD6"/>
    <w:rsid w:val="00620C78"/>
    <w:rsid w:val="006A1E24"/>
    <w:rsid w:val="006A21CE"/>
    <w:rsid w:val="006A3322"/>
    <w:rsid w:val="006E1735"/>
    <w:rsid w:val="00704B7D"/>
    <w:rsid w:val="007E2B77"/>
    <w:rsid w:val="00883E96"/>
    <w:rsid w:val="009A3201"/>
    <w:rsid w:val="00AA1D8D"/>
    <w:rsid w:val="00B02D5E"/>
    <w:rsid w:val="00B2098C"/>
    <w:rsid w:val="00B47730"/>
    <w:rsid w:val="00BC0ADE"/>
    <w:rsid w:val="00BC646B"/>
    <w:rsid w:val="00BE4F8D"/>
    <w:rsid w:val="00C20294"/>
    <w:rsid w:val="00C71410"/>
    <w:rsid w:val="00CB0664"/>
    <w:rsid w:val="00CF517A"/>
    <w:rsid w:val="00D20000"/>
    <w:rsid w:val="00E40BBB"/>
    <w:rsid w:val="00EA745B"/>
    <w:rsid w:val="00EF4C7A"/>
    <w:rsid w:val="00F91408"/>
    <w:rsid w:val="00FC693F"/>
    <w:rsid w:val="00FD4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CFBF1"/>
  <w14:defaultImageDpi w14:val="300"/>
  <w15:docId w15:val="{FA475490-6FC5-451F-A67D-8B9CD71FC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F517A"/>
    <w:rPr>
      <w:color w:val="0000FF" w:themeColor="hyperlink"/>
      <w:u w:val="single"/>
    </w:rPr>
  </w:style>
  <w:style w:type="character" w:styleId="UnresolvedMention">
    <w:name w:val="Unresolved Mention"/>
    <w:basedOn w:val="DefaultParagraphFont"/>
    <w:uiPriority w:val="99"/>
    <w:semiHidden/>
    <w:unhideWhenUsed/>
    <w:rsid w:val="00CF5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wa@so-actionagainsthunger.org" TargetMode="External"/><Relationship Id="rId13" Type="http://schemas.openxmlformats.org/officeDocument/2006/relationships/hyperlink" Target="mailto:procurement-mo@so-actionagainsthunge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ba@so-actionagainsthunger.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pl@so-actionagainsthunger.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ocurement-el@so-actionagainsthunger.org" TargetMode="External"/><Relationship Id="rId4" Type="http://schemas.openxmlformats.org/officeDocument/2006/relationships/settings" Target="settings.xml"/><Relationship Id="rId9" Type="http://schemas.openxmlformats.org/officeDocument/2006/relationships/hyperlink" Target="mailto:procurement-hu@so-actionagainsthunger.org" TargetMode="External"/><Relationship Id="rId14" Type="http://schemas.openxmlformats.org/officeDocument/2006/relationships/hyperlink" Target="mailto:procurement-ki@so-actionagainsthung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Ibrahim Mohamed Omar</cp:lastModifiedBy>
  <cp:revision>2</cp:revision>
  <dcterms:created xsi:type="dcterms:W3CDTF">2026-06-04T15:14:00Z</dcterms:created>
  <dcterms:modified xsi:type="dcterms:W3CDTF">2026-06-04T15:14:00Z</dcterms:modified>
  <cp:category/>
</cp:coreProperties>
</file>